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681-10q_terra.htm"/>
      <w:bookmarkStart w:id="1" w:name="ksea030068110q_ter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val="false"/>
          <w:i w:val="false"/>
          <w:caps w:val="false"/>
          <w:smallCaps w:val="false"/>
          <w:sz w:val="20"/>
          <w:u w:val="single"/>
        </w:rPr>
        <w:t>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TRANSITION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No. 001-42901 </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17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b/>
              </w:rPr>
            </w:pPr>
            <w:r>
              <w:rPr>
                <w:b/>
              </w:rPr>
              <w:t>The Netherlands</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N/A</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500" w:type="dxa"/>
        <w:jc w:val="left"/>
        <w:tblInd w:w="0" w:type="dxa"/>
        <w:tblLayout w:type="fixed"/>
        <w:tblCellMar>
          <w:top w:w="0" w:type="dxa"/>
          <w:left w:w="0" w:type="dxa"/>
          <w:bottom w:w="28" w:type="dxa"/>
          <w:right w:w="0" w:type="dxa"/>
        </w:tblCellMar>
      </w:tblPr>
      <w:tblGrid>
        <w:gridCol w:w="4355"/>
        <w:gridCol w:w="60"/>
        <w:gridCol w:w="1085"/>
      </w:tblGrid>
      <w:tr>
        <w:trPr/>
        <w:tc>
          <w:tcPr>
            <w:tcW w:w="4355" w:type="dxa"/>
            <w:tcBorders>
              <w:bottom w:val="single" w:sz="12" w:space="0" w:color="000000"/>
            </w:tcBorders>
            <w:vAlign w:val="center"/>
          </w:tcPr>
          <w:p>
            <w:pPr>
              <w:pStyle w:val="TableContents"/>
              <w:bidi w:val="0"/>
              <w:spacing w:before="0" w:after="283"/>
              <w:jc w:val="center"/>
              <w:rPr>
                <w:b/>
              </w:rPr>
            </w:pPr>
            <w:r>
              <w:rPr>
                <w:b/>
              </w:rPr>
              <w:t>Via Matteo Trenta 117, Lucca, Italy 55100</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55100 LU</w:t>
            </w:r>
          </w:p>
        </w:tc>
      </w:tr>
      <w:tr>
        <w:trPr/>
        <w:tc>
          <w:tcPr>
            <w:tcW w:w="43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5045" w:type="dxa"/>
        <w:jc w:val="left"/>
        <w:tblInd w:w="0" w:type="dxa"/>
        <w:tblLayout w:type="fixed"/>
        <w:tblCellMar>
          <w:top w:w="0" w:type="dxa"/>
          <w:left w:w="0" w:type="dxa"/>
          <w:bottom w:w="28" w:type="dxa"/>
          <w:right w:w="0" w:type="dxa"/>
        </w:tblCellMar>
      </w:tblPr>
      <w:tblGrid>
        <w:gridCol w:w="5045"/>
      </w:tblGrid>
      <w:tr>
        <w:trPr/>
        <w:tc>
          <w:tcPr>
            <w:tcW w:w="5045" w:type="dxa"/>
            <w:tcBorders>
              <w:bottom w:val="single" w:sz="12" w:space="0" w:color="000000"/>
            </w:tcBorders>
            <w:vAlign w:val="center"/>
          </w:tcPr>
          <w:p>
            <w:pPr>
              <w:pStyle w:val="TableContents"/>
              <w:bidi w:val="0"/>
              <w:spacing w:before="0" w:after="283"/>
              <w:jc w:val="center"/>
              <w:rPr>
                <w:b/>
              </w:rPr>
            </w:pPr>
            <w:r>
              <w:rPr>
                <w:b/>
              </w:rPr>
              <w:t>+39 0583 55797</w:t>
            </w:r>
          </w:p>
        </w:tc>
      </w:tr>
      <w:tr>
        <w:trPr/>
        <w:tc>
          <w:tcPr>
            <w:tcW w:w="5045" w:type="dxa"/>
            <w:tcBorders/>
            <w:tcMar>
              <w:bottom w:w="0" w:type="dxa"/>
            </w:tcMar>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r>
              <w:rPr/>
              <w:t>Ordinary Shares, par value of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7" w:type="dxa"/>
            <w:tcBorders/>
            <w:shd w:fill="CCEEFF" w:val="clear"/>
            <w:tcMar>
              <w:bottom w:w="0" w:type="dxa"/>
            </w:tcMar>
            <w:vAlign w:val="center"/>
          </w:tcPr>
          <w:p>
            <w:pPr>
              <w:pStyle w:val="TableContents"/>
              <w:bidi w:val="0"/>
              <w:spacing w:before="0" w:after="283"/>
              <w:jc w:val="center"/>
              <w:rPr/>
            </w:pPr>
            <w:r>
              <w:rPr/>
              <w:t>NKLR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3"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registrant is a shell company (as defined in Rule 12b-2 of the Exchange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last business day of our most recently completed second fiscal quarter), based upon the last reported trade on that date, the aggregate market value of the voting and non-voting common equity held by non-affiliates (for this purpose, all outstanding and issued ordinary shares minus shares held by the officers, directors and known holders of 10% or more of the Company’s ordinary shares)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13, 2026, there were a total of 110,500,908 ordinary shares of the registrant issued and outstanding.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725"/>
        <w:gridCol w:w="7925"/>
        <w:gridCol w:w="245"/>
      </w:tblGrid>
      <w:tr>
        <w:trPr/>
        <w:tc>
          <w:tcPr>
            <w:tcW w:w="8895" w:type="dxa"/>
            <w:gridSpan w:val="3"/>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PART I</w:t>
              </w:r>
            </w:hyperlink>
          </w:p>
        </w:tc>
      </w:tr>
      <w:tr>
        <w:trPr/>
        <w:tc>
          <w:tcPr>
            <w:tcW w:w="72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895" w:type="dxa"/>
            <w:gridSpan w:val="3"/>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PART II</w:t>
              </w:r>
            </w:hyperlink>
          </w:p>
        </w:tc>
      </w:tr>
      <w:tr>
        <w:trPr/>
        <w:tc>
          <w:tcPr>
            <w:tcW w:w="72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92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92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92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All statements contained in this Form 10-Q, other than statements of historical fact, are based on our management’s beliefs and assumptions and on information currently available to us.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pStyle w:val="TextBody"/>
        <w:bidi w:val="0"/>
        <w:spacing w:before="0" w:after="0"/>
        <w:ind w:left="0" w:right="0" w:firstLine="36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 including our ability to build and commercialize a micro-modular nuclear reactor;</w:t>
            </w:r>
          </w:p>
        </w:tc>
      </w:tr>
    </w:tbl>
    <w:p>
      <w:pPr>
        <w:pStyle w:val="TextBody"/>
        <w:bidi w:val="0"/>
        <w:spacing w:before="0" w:after="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 costs or expenditures;</w:t>
            </w:r>
          </w:p>
        </w:tc>
      </w:tr>
    </w:tbl>
    <w:p>
      <w:pPr>
        <w:pStyle w:val="TextBody"/>
        <w:bidi w:val="0"/>
        <w:spacing w:before="0" w:after="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growth of and competition trends in our industry;</w:t>
            </w:r>
          </w:p>
        </w:tc>
      </w:tr>
    </w:tbl>
    <w:p>
      <w:pPr>
        <w:pStyle w:val="TextBody"/>
        <w:bidi w:val="0"/>
        <w:spacing w:before="0" w:after="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products;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relationships with investors, institutional funding partners and other parties with whom we collaborate;</w:t>
            </w:r>
          </w:p>
        </w:tc>
      </w:tr>
    </w:tbl>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general economic and business conditions in the markets in which we operate; and</w:t>
            </w:r>
          </w:p>
        </w:tc>
      </w:tr>
    </w:tbl>
    <w:p>
      <w:pPr>
        <w:pStyle w:val="TextBody"/>
        <w:bidi w:val="0"/>
        <w:spacing w:before="0" w:after="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Part II, Item 1A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of our Annual Report filed on Form 10-K for the year ended December 31, 2025 and our Quarterly Report on Form 10-Q for the quarter ended March 31, 2026, and elsewhere in this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“we expect,” “we anticipate”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on which the statements are made in this report. Except as expressly required by the federal securities laws, there is no undertaking to publicly update or revise any forward-looking statements, whether as a result of new information, future events, changed circumstances or any other reason after the date of this report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report and the documents that we reference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Terra Innovatum Global N.V.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(formerly Terra Innovatum Global Srl.)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Interim Condensed Consolidated Balance Sheets</w:t>
      </w: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8"/>
        <w:gridCol w:w="60"/>
        <w:gridCol w:w="151"/>
        <w:gridCol w:w="949"/>
        <w:gridCol w:w="95"/>
        <w:gridCol w:w="60"/>
        <w:gridCol w:w="162"/>
        <w:gridCol w:w="1019"/>
        <w:gridCol w:w="111"/>
      </w:tblGrid>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91,055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102,882</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6,626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3,148</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b/>
              </w:rPr>
            </w:pPr>
            <w:r>
              <w:rPr>
                <w:b/>
              </w:rPr>
              <w:t>97,681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106,034</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102</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98,520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106,136</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019" w:type="dxa"/>
            <w:tcBorders/>
            <w:shd w:fill="FFFFFF" w:val="clear"/>
            <w:vAlign w:val="center"/>
          </w:tcPr>
          <w:p>
            <w:pPr>
              <w:pStyle w:val="TableContents"/>
              <w:bidi w:val="0"/>
              <w:spacing w:before="0" w:after="283"/>
              <w:jc w:val="right"/>
              <w:rPr/>
            </w:pPr>
            <w:r>
              <w:rPr/>
              <w:t>1,150</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4,295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2,009</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b/>
              </w:rPr>
            </w:pPr>
            <w:r>
              <w:rPr>
                <w:b/>
              </w:rPr>
              <w:t>6,579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3,159</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Share-settled contingent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196,527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186,323</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10,513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10,236</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214,015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199,726</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Ordinary shares (€0.01 par value, 500,000,000 shares authorized as of June 30, 2026 and December 31, 2025; 110,226,198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1,281</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Convertible Preferred Shares (€100 par value, 8,040 shares authorized as of June 30, 2026 and December 31, 2025; 20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3,086</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519,422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519,422</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(632,426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(607,276</w:t>
            </w:r>
          </w:p>
        </w:tc>
        <w:tc>
          <w:tcPr>
            <w:tcW w:w="111" w:type="dxa"/>
            <w:tcBorders/>
            <w:shd w:fill="CCEEFF" w:val="clear"/>
            <w:vAlign w:val="center"/>
          </w:tcPr>
          <w:p>
            <w:pPr>
              <w:pStyle w:val="TableContents"/>
              <w:bidi w:val="0"/>
              <w:spacing w:before="0" w:after="283"/>
              <w:jc w:val="left"/>
              <w:rPr/>
            </w:pPr>
            <w:r>
              <w:rPr/>
              <w:t>)</w:t>
            </w:r>
          </w:p>
        </w:tc>
      </w:tr>
      <w:tr>
        <w:trPr/>
        <w:tc>
          <w:tcPr>
            <w:tcW w:w="7598"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(6,858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(10,103</w:t>
            </w:r>
          </w:p>
        </w:tc>
        <w:tc>
          <w:tcPr>
            <w:tcW w:w="111" w:type="dxa"/>
            <w:tcBorders/>
            <w:shd w:fill="FFFFFF" w:val="clear"/>
            <w:vAlign w:val="center"/>
          </w:tcPr>
          <w:p>
            <w:pPr>
              <w:pStyle w:val="TableContents"/>
              <w:bidi w:val="0"/>
              <w:spacing w:before="0" w:after="283"/>
              <w:jc w:val="left"/>
              <w:rPr/>
            </w:pPr>
            <w:r>
              <w:rPr/>
              <w:t>)</w:t>
            </w:r>
          </w:p>
        </w:tc>
      </w:tr>
      <w:tr>
        <w:trPr/>
        <w:tc>
          <w:tcPr>
            <w:tcW w:w="7598"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(93,590</w:t>
            </w:r>
          </w:p>
        </w:tc>
        <w:tc>
          <w:tcPr>
            <w:tcW w:w="111" w:type="dxa"/>
            <w:tcBorders/>
            <w:shd w:fill="CCEEFF" w:val="clear"/>
            <w:vAlign w:val="center"/>
          </w:tcPr>
          <w:p>
            <w:pPr>
              <w:pStyle w:val="TableContents"/>
              <w:bidi w:val="0"/>
              <w:spacing w:before="0" w:after="283"/>
              <w:jc w:val="left"/>
              <w:rPr>
                <w:b/>
              </w:rPr>
            </w:pPr>
            <w:r>
              <w:rPr>
                <w:b/>
              </w:rPr>
              <w:t>)</w:t>
            </w:r>
          </w:p>
        </w:tc>
      </w:tr>
      <w:tr>
        <w:trPr/>
        <w:tc>
          <w:tcPr>
            <w:tcW w:w="7598" w:type="dxa"/>
            <w:tcBorders/>
            <w:shd w:fill="FFFFFF" w:val="clear"/>
            <w:vAlign w:val="center"/>
          </w:tcPr>
          <w:p>
            <w:pPr>
              <w:pStyle w:val="TableContents"/>
              <w:bidi w:val="0"/>
              <w:spacing w:before="0" w:after="283"/>
              <w:jc w:val="left"/>
              <w:rPr>
                <w:b/>
              </w:rPr>
            </w:pPr>
            <w:r>
              <w:rPr>
                <w:b/>
              </w:rPr>
              <w:t>Total 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98,520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106,136</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Terra Innovatum Global N.V.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(formerly Terra Innovatum Global Srl.)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Interim Condensed Consolidated Statements of Operations and Comprehensive Income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(all amounts in USD)(in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8"/>
        <w:gridCol w:w="60"/>
        <w:gridCol w:w="148"/>
        <w:gridCol w:w="1294"/>
        <w:gridCol w:w="100"/>
        <w:gridCol w:w="63"/>
        <w:gridCol w:w="148"/>
        <w:gridCol w:w="1166"/>
        <w:gridCol w:w="95"/>
        <w:gridCol w:w="60"/>
        <w:gridCol w:w="140"/>
        <w:gridCol w:w="1231"/>
        <w:gridCol w:w="95"/>
        <w:gridCol w:w="60"/>
        <w:gridCol w:w="140"/>
        <w:gridCol w:w="1109"/>
        <w:gridCol w:w="118"/>
      </w:tblGrid>
      <w:tr>
        <w:trPr/>
        <w:tc>
          <w:tcPr>
            <w:tcW w:w="4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8" w:type="dxa"/>
            <w:tcBorders/>
            <w:vAlign w:val="center"/>
          </w:tcPr>
          <w:p>
            <w:pPr>
              <w:pStyle w:val="TableContents"/>
              <w:bidi w:val="0"/>
              <w:spacing w:before="0" w:after="283"/>
              <w:jc w:val="left"/>
              <w:rPr/>
            </w:pPr>
            <w:r>
              <w:rPr/>
              <w:t> </w:t>
            </w:r>
          </w:p>
        </w:tc>
      </w:tr>
      <w:tr>
        <w:trPr/>
        <w:tc>
          <w:tcPr>
            <w:tcW w:w="4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r>
      <w:tr>
        <w:trPr/>
        <w:tc>
          <w:tcPr>
            <w:tcW w:w="4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9"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vAlign w:val="center"/>
          </w:tcPr>
          <w:p>
            <w:pPr>
              <w:pStyle w:val="TableContents"/>
              <w:bidi w:val="0"/>
              <w:spacing w:before="0" w:after="283"/>
              <w:jc w:val="center"/>
              <w:rPr/>
            </w:pPr>
            <w:r>
              <w:rPr/>
              <w:t>Unaudited</w:t>
            </w:r>
          </w:p>
        </w:tc>
        <w:tc>
          <w:tcPr>
            <w:tcW w:w="118" w:type="dxa"/>
            <w:tcBorders/>
            <w:vAlign w:val="center"/>
          </w:tcPr>
          <w:p>
            <w:pPr>
              <w:pStyle w:val="TableContents"/>
              <w:bidi w:val="0"/>
              <w:spacing w:before="0" w:after="283"/>
              <w:jc w:val="left"/>
              <w:rPr/>
            </w:pPr>
            <w:r>
              <w:rPr/>
              <w:t> </w:t>
            </w:r>
          </w:p>
        </w:tc>
      </w:tr>
      <w:tr>
        <w:trPr/>
        <w:tc>
          <w:tcPr>
            <w:tcW w:w="4178"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4,598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2,104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9,994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3,520</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1,481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2,719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6,079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3,609</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(6,079</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(3,609</w:t>
            </w:r>
          </w:p>
        </w:tc>
        <w:tc>
          <w:tcPr>
            <w:tcW w:w="118" w:type="dxa"/>
            <w:tcBorders/>
            <w:shd w:fill="FFFFFF" w:val="clear"/>
            <w:vAlign w:val="center"/>
          </w:tcPr>
          <w:p>
            <w:pPr>
              <w:pStyle w:val="TableContents"/>
              <w:bidi w:val="0"/>
              <w:spacing w:before="0" w:after="283"/>
              <w:jc w:val="left"/>
              <w:rPr>
                <w:b/>
              </w:rPr>
            </w:pPr>
            <w:r>
              <w:rPr>
                <w:b/>
              </w:rPr>
              <w:t>)</w:t>
            </w:r>
          </w:p>
        </w:tc>
      </w:tr>
      <w:tr>
        <w:trPr/>
        <w:tc>
          <w:tcPr>
            <w:tcW w:w="41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1,190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(244</w:t>
            </w:r>
          </w:p>
        </w:tc>
        <w:tc>
          <w:tcPr>
            <w:tcW w:w="118" w:type="dxa"/>
            <w:tcBorders/>
            <w:shd w:fill="CCEEFF" w:val="clear"/>
            <w:vAlign w:val="center"/>
          </w:tcPr>
          <w:p>
            <w:pPr>
              <w:pStyle w:val="TableContents"/>
              <w:bidi w:val="0"/>
              <w:spacing w:before="0" w:after="283"/>
              <w:jc w:val="left"/>
              <w:rPr/>
            </w:pPr>
            <w:r>
              <w:rPr/>
              <w:t>)</w:t>
            </w:r>
          </w:p>
        </w:tc>
      </w:tr>
      <w:tr>
        <w:trPr/>
        <w:tc>
          <w:tcPr>
            <w:tcW w:w="4178"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(12,492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(15,827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(11,965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(12,437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1,016</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b/>
              </w:rPr>
            </w:pPr>
            <w:r>
              <w:rPr>
                <w:b/>
              </w:rPr>
              <w:t>(18,044</w:t>
            </w:r>
          </w:p>
        </w:tc>
        <w:tc>
          <w:tcPr>
            <w:tcW w:w="100"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b/>
              </w:rPr>
            </w:pPr>
            <w:r>
              <w:rPr>
                <w:b/>
              </w:rPr>
              <w:t>(25,150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b/>
              </w:rPr>
            </w:pPr>
            <w:r>
              <w:rPr>
                <w:b/>
              </w:rPr>
              <w:t>(2,593</w:t>
            </w:r>
          </w:p>
        </w:tc>
        <w:tc>
          <w:tcPr>
            <w:tcW w:w="118" w:type="dxa"/>
            <w:tcBorders/>
            <w:shd w:fill="CCEEFF" w:val="clear"/>
            <w:vAlign w:val="center"/>
          </w:tcPr>
          <w:p>
            <w:pPr>
              <w:pStyle w:val="TableContents"/>
              <w:bidi w:val="0"/>
              <w:spacing w:before="0" w:after="283"/>
              <w:jc w:val="left"/>
              <w:rPr>
                <w:b/>
              </w:rPr>
            </w:pPr>
            <w:r>
              <w:rPr>
                <w:b/>
              </w:rPr>
              <w:t>)</w:t>
            </w:r>
          </w:p>
        </w:tc>
      </w:tr>
      <w:tr>
        <w:trPr/>
        <w:tc>
          <w:tcPr>
            <w:tcW w:w="4178"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(18,044</w:t>
            </w:r>
          </w:p>
        </w:tc>
        <w:tc>
          <w:tcPr>
            <w:tcW w:w="100"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(2,593</w:t>
            </w:r>
          </w:p>
        </w:tc>
        <w:tc>
          <w:tcPr>
            <w:tcW w:w="118" w:type="dxa"/>
            <w:tcBorders/>
            <w:shd w:fill="CCEEFF" w:val="clear"/>
            <w:vAlign w:val="center"/>
          </w:tcPr>
          <w:p>
            <w:pPr>
              <w:pStyle w:val="TableContents"/>
              <w:bidi w:val="0"/>
              <w:spacing w:before="0" w:after="283"/>
              <w:jc w:val="left"/>
              <w:rPr>
                <w:b/>
              </w:rPr>
            </w:pPr>
            <w:r>
              <w:rPr>
                <w:b/>
              </w:rPr>
              <w:t>)</w:t>
            </w:r>
          </w:p>
        </w:tc>
      </w:tr>
      <w:tr>
        <w:trPr/>
        <w:tc>
          <w:tcPr>
            <w:tcW w:w="4178" w:type="dxa"/>
            <w:tcBorders/>
            <w:shd w:fill="FFFFFF" w:val="clear"/>
            <w:vAlign w:val="center"/>
          </w:tcPr>
          <w:p>
            <w:pPr>
              <w:pStyle w:val="TableContents"/>
              <w:bidi w:val="0"/>
              <w:spacing w:before="0" w:after="283"/>
              <w:jc w:val="left"/>
              <w:rPr>
                <w:b/>
              </w:rPr>
            </w:pPr>
            <w:r>
              <w:rPr>
                <w:b/>
              </w:rPr>
              <w:t>Other 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Change in 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1,241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3,245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(16,803</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(2,576</w:t>
            </w:r>
          </w:p>
        </w:tc>
        <w:tc>
          <w:tcPr>
            <w:tcW w:w="118" w:type="dxa"/>
            <w:tcBorders/>
            <w:shd w:fill="FFFFFF" w:val="clear"/>
            <w:vAlign w:val="center"/>
          </w:tcPr>
          <w:p>
            <w:pPr>
              <w:pStyle w:val="TableContents"/>
              <w:bidi w:val="0"/>
              <w:spacing w:before="0" w:after="283"/>
              <w:jc w:val="left"/>
              <w:rPr>
                <w:b/>
              </w:rPr>
            </w:pPr>
            <w:r>
              <w:rPr>
                <w:b/>
              </w:rPr>
              <w:t>)</w:t>
            </w:r>
          </w:p>
        </w:tc>
      </w:tr>
      <w:tr>
        <w:trPr/>
        <w:tc>
          <w:tcPr>
            <w:tcW w:w="41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(0.16</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(0.05</w:t>
            </w:r>
          </w:p>
        </w:tc>
        <w:tc>
          <w:tcPr>
            <w:tcW w:w="118" w:type="dxa"/>
            <w:tcBorders/>
            <w:shd w:fill="FFFFFF" w:val="clear"/>
            <w:vAlign w:val="center"/>
          </w:tcPr>
          <w:p>
            <w:pPr>
              <w:pStyle w:val="TableContents"/>
              <w:bidi w:val="0"/>
              <w:spacing w:before="0" w:after="283"/>
              <w:jc w:val="left"/>
              <w:rPr>
                <w:b/>
              </w:rPr>
            </w:pPr>
            <w:r>
              <w:rPr>
                <w:b/>
              </w:rPr>
              <w:t>)</w:t>
            </w:r>
          </w:p>
        </w:tc>
      </w:tr>
      <w:tr>
        <w:trPr/>
        <w:tc>
          <w:tcPr>
            <w:tcW w:w="4178" w:type="dxa"/>
            <w:tcBorders/>
            <w:shd w:fill="CCEEFF" w:val="clear"/>
            <w:vAlign w:val="center"/>
          </w:tcPr>
          <w:p>
            <w:pPr>
              <w:pStyle w:val="TableContents"/>
              <w:bidi w:val="0"/>
              <w:spacing w:before="0" w:after="283"/>
              <w:jc w:val="left"/>
              <w:rPr>
                <w:b/>
              </w:rPr>
            </w:pPr>
            <w:r>
              <w:rPr>
                <w:b/>
              </w:rPr>
              <w:t>Weighted-average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11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Terra Innovatum Global N.V.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(Formerly Terra Innovatum Global Srl.)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Interim Condensed Consolidated Statements of Changes in Shareholders’ Deficit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2408" w:type="dxa"/>
        <w:jc w:val="left"/>
        <w:tblInd w:w="0" w:type="dxa"/>
        <w:tblLayout w:type="fixed"/>
        <w:tblCellMar>
          <w:top w:w="0" w:type="dxa"/>
          <w:left w:w="0" w:type="dxa"/>
          <w:bottom w:w="0" w:type="dxa"/>
          <w:right w:w="0" w:type="dxa"/>
        </w:tblCellMar>
      </w:tblPr>
      <w:tblGrid>
        <w:gridCol w:w="1025"/>
        <w:gridCol w:w="60"/>
        <w:gridCol w:w="140"/>
        <w:gridCol w:w="995"/>
        <w:gridCol w:w="60"/>
        <w:gridCol w:w="60"/>
        <w:gridCol w:w="132"/>
        <w:gridCol w:w="578"/>
        <w:gridCol w:w="64"/>
        <w:gridCol w:w="64"/>
        <w:gridCol w:w="214"/>
        <w:gridCol w:w="646"/>
        <w:gridCol w:w="60"/>
        <w:gridCol w:w="60"/>
        <w:gridCol w:w="60"/>
        <w:gridCol w:w="1220"/>
        <w:gridCol w:w="60"/>
        <w:gridCol w:w="60"/>
        <w:gridCol w:w="172"/>
        <w:gridCol w:w="688"/>
        <w:gridCol w:w="60"/>
        <w:gridCol w:w="60"/>
        <w:gridCol w:w="163"/>
        <w:gridCol w:w="937"/>
        <w:gridCol w:w="60"/>
        <w:gridCol w:w="60"/>
        <w:gridCol w:w="188"/>
        <w:gridCol w:w="1182"/>
        <w:gridCol w:w="95"/>
        <w:gridCol w:w="60"/>
        <w:gridCol w:w="239"/>
        <w:gridCol w:w="1296"/>
        <w:gridCol w:w="95"/>
        <w:gridCol w:w="60"/>
        <w:gridCol w:w="182"/>
        <w:gridCol w:w="1143"/>
        <w:gridCol w:w="110"/>
      </w:tblGrid>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8"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5" w:type="dxa"/>
            <w:gridSpan w:val="2"/>
            <w:tcBorders/>
            <w:vAlign w:val="center"/>
          </w:tcPr>
          <w:p>
            <w:pPr>
              <w:pStyle w:val="TableContents"/>
              <w:bidi w:val="0"/>
              <w:spacing w:before="0" w:after="283"/>
              <w:jc w:val="center"/>
              <w:rPr>
                <w:b/>
              </w:rPr>
            </w:pPr>
            <w:r>
              <w:rPr>
                <w:b/>
              </w:rPr>
              <w:t>Corporate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Convertible</w:t>
              <w:b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other 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b/>
              </w:rPr>
            </w:pPr>
            <w:r>
              <w:rPr>
                <w:b/>
              </w:rPr>
              <w:t>Total</w:t>
              <w:br/>
              <w:t>shareholders’</w:t>
            </w:r>
          </w:p>
        </w:tc>
        <w:tc>
          <w:tcPr>
            <w:tcW w:w="110" w:type="dxa"/>
            <w:tcBorders/>
            <w:vAlign w:val="center"/>
          </w:tcPr>
          <w:p>
            <w:pPr>
              <w:pStyle w:val="TableContents"/>
              <w:bidi w:val="0"/>
              <w:spacing w:before="0" w:after="283"/>
              <w:jc w:val="center"/>
              <w:rPr/>
            </w:pPr>
            <w:r>
              <w:rPr/>
              <w:t> </w:t>
            </w:r>
          </w:p>
        </w:tc>
      </w:tr>
      <w:tr>
        <w:trPr/>
        <w:tc>
          <w:tcPr>
            <w:tcW w:w="1025" w:type="dxa"/>
            <w:tcBorders>
              <w:bottom w:val="single" w:sz="12" w:space="0" w:color="000000"/>
            </w:tcBorders>
            <w:tcMar>
              <w:bottom w:w="28" w:type="dxa"/>
            </w:tcMar>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025"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519,422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(607,276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(10,103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(93,590</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0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(7,106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(7,106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02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2,004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025"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110,226,198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519,422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(614,382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(8,099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(98,692</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0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(18,044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(18,044</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02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1,241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519,422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(632,426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(115,495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3145" w:type="dxa"/>
        <w:jc w:val="left"/>
        <w:tblInd w:w="0" w:type="dxa"/>
        <w:tblLayout w:type="fixed"/>
        <w:tblCellMar>
          <w:top w:w="0" w:type="dxa"/>
          <w:left w:w="0" w:type="dxa"/>
          <w:bottom w:w="0" w:type="dxa"/>
          <w:right w:w="0" w:type="dxa"/>
        </w:tblCellMar>
      </w:tblPr>
      <w:tblGrid>
        <w:gridCol w:w="1325"/>
        <w:gridCol w:w="60"/>
        <w:gridCol w:w="172"/>
        <w:gridCol w:w="913"/>
        <w:gridCol w:w="95"/>
        <w:gridCol w:w="60"/>
        <w:gridCol w:w="60"/>
        <w:gridCol w:w="815"/>
        <w:gridCol w:w="60"/>
        <w:gridCol w:w="60"/>
        <w:gridCol w:w="140"/>
        <w:gridCol w:w="1055"/>
        <w:gridCol w:w="60"/>
        <w:gridCol w:w="60"/>
        <w:gridCol w:w="60"/>
        <w:gridCol w:w="1100"/>
        <w:gridCol w:w="60"/>
        <w:gridCol w:w="60"/>
        <w:gridCol w:w="231"/>
        <w:gridCol w:w="629"/>
        <w:gridCol w:w="60"/>
        <w:gridCol w:w="60"/>
        <w:gridCol w:w="220"/>
        <w:gridCol w:w="880"/>
        <w:gridCol w:w="95"/>
        <w:gridCol w:w="60"/>
        <w:gridCol w:w="247"/>
        <w:gridCol w:w="1123"/>
        <w:gridCol w:w="95"/>
        <w:gridCol w:w="60"/>
        <w:gridCol w:w="140"/>
        <w:gridCol w:w="1475"/>
        <w:gridCol w:w="60"/>
        <w:gridCol w:w="60"/>
        <w:gridCol w:w="239"/>
        <w:gridCol w:w="1086"/>
        <w:gridCol w:w="110"/>
      </w:tblGrid>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Convertible</w:t>
              <w:b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2"/>
            <w:tcBorders/>
            <w:vAlign w:val="center"/>
          </w:tcPr>
          <w:p>
            <w:pPr>
              <w:pStyle w:val="TableContents"/>
              <w:bidi w:val="0"/>
              <w:spacing w:before="0" w:after="283"/>
              <w:jc w:val="center"/>
              <w:rPr>
                <w:b/>
              </w:rPr>
            </w:pPr>
            <w:r>
              <w:rPr>
                <w:b/>
              </w:rPr>
              <w:t>other comprehensive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b/>
              </w:rPr>
            </w:pPr>
            <w:r>
              <w:rPr>
                <w:b/>
              </w:rPr>
              <w:t>Total</w:t>
              <w:br/>
              <w:t>shareholders’</w:t>
            </w:r>
          </w:p>
        </w:tc>
        <w:tc>
          <w:tcPr>
            <w:tcW w:w="110" w:type="dxa"/>
            <w:tcBorders/>
            <w:vAlign w:val="center"/>
          </w:tcPr>
          <w:p>
            <w:pPr>
              <w:pStyle w:val="TableContents"/>
              <w:bidi w:val="0"/>
              <w:spacing w:before="0" w:after="283"/>
              <w:jc w:val="center"/>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325" w:type="dxa"/>
            <w:tcBorders/>
            <w:shd w:fill="CCEEFF" w:val="clear"/>
            <w:vAlign w:val="center"/>
          </w:tcPr>
          <w:p>
            <w:pPr>
              <w:pStyle w:val="TableContents"/>
              <w:bidi w:val="0"/>
              <w:spacing w:before="0" w:after="283"/>
              <w:jc w:val="left"/>
              <w:rPr>
                <w:b/>
              </w:rPr>
            </w:pPr>
            <w:r>
              <w:rPr>
                <w:b/>
              </w:rPr>
              <w:t>Balance at January 1, 2024</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pPr>
            <w:r>
              <w:rPr/>
              <w:t>          </w:t>
            </w:r>
            <w:r>
              <w:rPr>
                <w:b/>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75" w:type="dxa"/>
            <w:tcBorders/>
            <w:shd w:fill="CCEEFF" w:val="cle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086"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Retrospective application of the Business Combination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b/>
              </w:rPr>
            </w:pPr>
            <w:r>
              <w:rPr>
                <w:b/>
              </w:rPr>
              <w:t>Adjusted balances at beginning of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(548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7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086"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b/>
              </w:rPr>
            </w:pPr>
            <w:r>
              <w:rPr>
                <w:b/>
              </w:rPr>
              <w:t>(34</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2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b/>
              </w:rPr>
            </w:pPr>
            <w:r>
              <w:rPr>
                <w:b/>
              </w:rPr>
              <w:t>Balance at December 31, 2024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b/>
              </w:rPr>
            </w:pPr>
            <w:r>
              <w:rPr>
                <w:b/>
              </w:rPr>
              <w:t>$</w:t>
            </w:r>
          </w:p>
        </w:tc>
        <w:tc>
          <w:tcPr>
            <w:tcW w:w="913"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b/>
              </w:rPr>
            </w:pPr>
            <w:r>
              <w:rPr>
                <w:b/>
              </w:rPr>
              <w:t>$</w:t>
            </w:r>
          </w:p>
        </w:tc>
        <w:tc>
          <w:tcPr>
            <w:tcW w:w="629" w:type="dxa"/>
            <w:tcBorders/>
            <w:shd w:fill="FFFFFF" w:val="clear"/>
            <w:vAlign w:val="center"/>
          </w:tcPr>
          <w:p>
            <w:pPr>
              <w:pStyle w:val="TableContents"/>
              <w:bidi w:val="0"/>
              <w:spacing w:before="0" w:after="283"/>
              <w:jc w:val="right"/>
              <w:rPr>
                <w:b/>
              </w:rPr>
            </w:pPr>
            <w:r>
              <w:rPr>
                <w:b/>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b/>
              </w:rPr>
            </w:pPr>
            <w:r>
              <w:rPr>
                <w:b/>
              </w:rPr>
              <w:t>$</w:t>
            </w:r>
          </w:p>
        </w:tc>
        <w:tc>
          <w:tcPr>
            <w:tcW w:w="880" w:type="dxa"/>
            <w:tcBorders/>
            <w:shd w:fill="FFFFFF" w:val="clear"/>
            <w:vAlign w:val="center"/>
          </w:tcPr>
          <w:p>
            <w:pPr>
              <w:pStyle w:val="TableContents"/>
              <w:bidi w:val="0"/>
              <w:spacing w:before="0" w:after="283"/>
              <w:jc w:val="right"/>
              <w:rPr>
                <w:b/>
              </w:rPr>
            </w:pPr>
            <w:r>
              <w:rPr>
                <w:b/>
              </w:rPr>
              <w:t>(548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b/>
              </w:rPr>
            </w:pPr>
            <w:r>
              <w:rPr>
                <w:b/>
              </w:rPr>
              <w:t>$</w:t>
            </w:r>
          </w:p>
        </w:tc>
        <w:tc>
          <w:tcPr>
            <w:tcW w:w="1123" w:type="dxa"/>
            <w:tcBorders/>
            <w:shd w:fill="FFFFFF" w:val="clear"/>
            <w:vAlign w:val="center"/>
          </w:tcPr>
          <w:p>
            <w:pPr>
              <w:pStyle w:val="TableContents"/>
              <w:bidi w:val="0"/>
              <w:spacing w:before="0" w:after="283"/>
              <w:jc w:val="right"/>
              <w:rPr>
                <w:b/>
              </w:rPr>
            </w:pPr>
            <w:r>
              <w:rPr>
                <w:b/>
              </w:rPr>
              <w:t>(37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75" w:type="dxa"/>
            <w:tcBorders/>
            <w:shd w:fill="FFFFFF" w:val="cle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b/>
              </w:rPr>
            </w:pPr>
            <w:r>
              <w:rPr>
                <w:b/>
              </w:rPr>
              <w:t>$</w:t>
            </w:r>
          </w:p>
        </w:tc>
        <w:tc>
          <w:tcPr>
            <w:tcW w:w="1086" w:type="dxa"/>
            <w:tcBorders/>
            <w:shd w:fill="FFFFFF" w:val="clear"/>
            <w:vAlign w:val="center"/>
          </w:tcPr>
          <w:p>
            <w:pPr>
              <w:pStyle w:val="TableContents"/>
              <w:bidi w:val="0"/>
              <w:spacing w:before="0" w:after="283"/>
              <w:jc w:val="right"/>
              <w:rPr>
                <w:b/>
              </w:rPr>
            </w:pPr>
            <w:r>
              <w:rPr>
                <w:b/>
              </w:rPr>
              <w:t>(32</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b/>
              </w:rPr>
            </w:pPr>
            <w:r>
              <w:rPr>
                <w:b/>
              </w:rPr>
              <w:t>(1,448</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2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(548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(1,485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75" w:type="dxa"/>
            <w:tcBorders/>
            <w:shd w:fill="CCEEFF" w:val="clear"/>
            <w:vAlign w:val="center"/>
          </w:tcPr>
          <w:p>
            <w:pPr>
              <w:pStyle w:val="TableContents"/>
              <w:bidi w:val="0"/>
              <w:spacing w:before="0" w:after="283"/>
              <w:jc w:val="right"/>
              <w:rPr>
                <w:b/>
              </w:rPr>
            </w:pPr>
            <w:r>
              <w:rPr>
                <w:b/>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086" w:type="dxa"/>
            <w:tcBorders/>
            <w:shd w:fill="CCEEFF" w:val="clear"/>
            <w:vAlign w:val="center"/>
          </w:tcPr>
          <w:p>
            <w:pPr>
              <w:pStyle w:val="TableContents"/>
              <w:bidi w:val="0"/>
              <w:spacing w:before="0" w:after="283"/>
              <w:jc w:val="right"/>
              <w:rPr>
                <w:b/>
              </w:rPr>
            </w:pPr>
            <w:r>
              <w:rPr>
                <w:b/>
              </w:rPr>
              <w:t>(1,474</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b/>
              </w:rPr>
            </w:pPr>
            <w:r>
              <w:rPr>
                <w:b/>
              </w:rPr>
              <w:t>(1,145</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25" w:type="dxa"/>
            <w:tcBorders/>
            <w:shd w:fill="CCEEFF" w:val="clear"/>
            <w:vAlign w:val="center"/>
          </w:tcPr>
          <w:p>
            <w:pPr>
              <w:pStyle w:val="TableContents"/>
              <w:bidi w:val="0"/>
              <w:spacing w:before="0" w:after="283"/>
              <w:jc w:val="left"/>
              <w:rPr/>
            </w:pPr>
            <w:r>
              <w:rPr/>
              <w:t>Issuance of warrants, net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b/>
              </w:rPr>
            </w:pPr>
            <w:r>
              <w:rPr>
                <w:b/>
              </w:rPr>
              <w:t>1,077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(1,531</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Terra Innovatum Global N.V.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(formerly Terra Innovatum Global Srl.)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Interim 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44"/>
        <w:gridCol w:w="60"/>
        <w:gridCol w:w="201"/>
        <w:gridCol w:w="1153"/>
        <w:gridCol w:w="136"/>
        <w:gridCol w:w="86"/>
        <w:gridCol w:w="201"/>
        <w:gridCol w:w="915"/>
        <w:gridCol w:w="109"/>
      </w:tblGrid>
      <w:tr>
        <w:trPr/>
        <w:tc>
          <w:tcPr>
            <w:tcW w:w="734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09" w:type="dxa"/>
            <w:tcBorders/>
            <w:vAlign w:val="center"/>
          </w:tcPr>
          <w:p>
            <w:pPr>
              <w:pStyle w:val="TableContents"/>
              <w:bidi w:val="0"/>
              <w:spacing w:before="0" w:after="283"/>
              <w:ind w:left="0" w:right="0" w:hanging="180"/>
              <w:jc w:val="left"/>
              <w:rPr/>
            </w:pPr>
            <w:r>
              <w:rPr/>
              <w:t> </w:t>
            </w:r>
          </w:p>
        </w:tc>
      </w:tr>
      <w:tr>
        <w:trPr/>
        <w:tc>
          <w:tcPr>
            <w:tcW w:w="7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ind w:left="0" w:right="0" w:hanging="180"/>
              <w:jc w:val="left"/>
              <w:rPr/>
            </w:pPr>
            <w:r>
              <w:rPr/>
              <w:t> </w:t>
            </w:r>
          </w:p>
        </w:tc>
      </w:tr>
      <w:tr>
        <w:trPr/>
        <w:tc>
          <w:tcPr>
            <w:tcW w:w="7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2" w:type="dxa"/>
            <w:gridSpan w:val="6"/>
            <w:tcBorders/>
            <w:vAlign w:val="center"/>
          </w:tcPr>
          <w:p>
            <w:pPr>
              <w:pStyle w:val="TableContents"/>
              <w:bidi w:val="0"/>
              <w:spacing w:before="0" w:after="283"/>
              <w:jc w:val="center"/>
              <w:rPr>
                <w:b/>
              </w:rPr>
            </w:pPr>
            <w:r>
              <w:rPr>
                <w:b/>
              </w:rPr>
              <w:t>Unaudited</w:t>
            </w:r>
          </w:p>
        </w:tc>
        <w:tc>
          <w:tcPr>
            <w:tcW w:w="109" w:type="dxa"/>
            <w:tcBorders/>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(25,150</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(2,593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44" w:type="dxa"/>
            <w:tcBorders/>
            <w:shd w:fill="FFFFFF" w:val="clear"/>
            <w:vAlign w:val="center"/>
          </w:tcPr>
          <w:p>
            <w:pPr>
              <w:pStyle w:val="TableContents"/>
              <w:bidi w:val="0"/>
              <w:spacing w:before="0" w:after="283"/>
              <w:jc w:val="left"/>
              <w:rPr/>
            </w:pPr>
            <w:r>
              <w:rPr/>
              <w:t>Adjustments to reconcile net loss to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Unrealized foreign exchange (gain) loss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(872</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65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580</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(1,260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44" w:type="dxa"/>
            <w:tcBorders/>
            <w:shd w:fill="CCEEFF" w:val="clear"/>
            <w:vAlign w:val="center"/>
          </w:tcPr>
          <w:p>
            <w:pPr>
              <w:pStyle w:val="TableContents"/>
              <w:bidi w:val="0"/>
              <w:spacing w:before="0" w:after="283"/>
              <w:jc w:val="left"/>
              <w:rPr/>
            </w:pPr>
            <w:r>
              <w:rPr/>
              <w:t>Change in fair value of share-settled contingent liability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15,827</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Interest expense - non-cash</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116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14</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(3,638</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(292</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44"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2,036</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2,054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2,395</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536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(8,778</w:t>
            </w:r>
          </w:p>
        </w:tc>
        <w:tc>
          <w:tcPr>
            <w:tcW w:w="136"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(1,371</w:t>
            </w:r>
          </w:p>
        </w:tc>
        <w:tc>
          <w:tcPr>
            <w:tcW w:w="109" w:type="dxa"/>
            <w:tcBorders/>
            <w:shd w:fill="FFFFFF" w:val="clear"/>
            <w:vAlign w:val="center"/>
          </w:tcPr>
          <w:p>
            <w:pPr>
              <w:pStyle w:val="TableContents"/>
              <w:bidi w:val="0"/>
              <w:spacing w:before="0" w:after="283"/>
              <w:ind w:left="0" w:right="0" w:hanging="180"/>
              <w:jc w:val="left"/>
              <w:rPr>
                <w:b/>
              </w:rPr>
            </w:pPr>
            <w:r>
              <w:rPr>
                <w:b/>
              </w:rPr>
              <w:t>)</w:t>
            </w:r>
          </w:p>
        </w:tc>
      </w:tr>
      <w:tr>
        <w:trPr/>
        <w:tc>
          <w:tcPr>
            <w:tcW w:w="7344"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Purchases of equipment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(378</w:t>
            </w:r>
          </w:p>
        </w:tc>
        <w:tc>
          <w:tcPr>
            <w:tcW w:w="136"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(378</w:t>
            </w:r>
          </w:p>
        </w:tc>
        <w:tc>
          <w:tcPr>
            <w:tcW w:w="136"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Proceeds from bridge loans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4,803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Payment of debt issuance costs for Bridge Loans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(20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44"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Proceeds from related party loans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(2,671</w:t>
            </w:r>
          </w:p>
        </w:tc>
        <w:tc>
          <w:tcPr>
            <w:tcW w:w="136"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291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(9,156</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3,613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102,882</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91,055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3,973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Cash paid for amounts included in the measurement of operating lease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22</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396</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Unpaid deferred transaction costs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550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Reclassification of liability-classified to equity-classified warrants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189</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Fair value of warrant liability</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1,452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Issuance costs allocated to Bridge Loans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Equity classified warrants in conjunction with Bridge Loans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954</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Notes to the Interim Condensed Consolidated Financial Statements</w:t>
        <w:b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Global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Terra”)</w:t>
      </w:r>
      <w:r>
        <w:rPr>
          <w:rFonts w:ascii="Times New Roman;Times;Serif" w:hAnsi="Times New Roman;Times;Serif"/>
          <w:b w:val="false"/>
          <w:i w:val="false"/>
          <w:caps w:val="false"/>
          <w:smallCaps w:val="false"/>
          <w:sz w:val="20"/>
        </w:rPr>
        <w:t xml:space="preserve"> is a Dutch public limited liability company (naamloze vennootschap) organized under the laws of the Netherlands. The Company is registered in the Netherlands, and its legal headquarters is in Lucca, Italy, San Marco district at Via Matteo Trenta No. 117.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consummated a business combination with GSR III Acquisition Corp. (“</w:t>
      </w:r>
      <w:r>
        <w:rPr>
          <w:rFonts w:ascii="Times New Roman;Times;Serif" w:hAnsi="Times New Roman;Times;Serif"/>
          <w:b/>
          <w:i w:val="false"/>
          <w:caps w:val="false"/>
          <w:smallCaps w:val="false"/>
          <w:sz w:val="20"/>
        </w:rPr>
        <w:t>GSR III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pursuant to a Business Combination Agreement dated April 21, 2025, as amended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which was accounted for as a recapitalization. Additional details are included in the Company’s Annual Report on Form 10-K for the year ended December 31, 2025. As a result of the Business Combination, the Company became a publicly traded parent company of the combined organization. The Company’s ordinary shares commenced trading on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“NKLR” on October 10,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Terra Innovatum Srl. (“</w:t>
      </w:r>
      <w:r>
        <w:rPr>
          <w:rFonts w:ascii="Times New Roman;Times;Serif" w:hAnsi="Times New Roman;Times;Serif"/>
          <w:b/>
          <w:i w:val="false"/>
          <w:caps w:val="false"/>
          <w:smallCaps w:val="false"/>
          <w:sz w:val="20"/>
        </w:rPr>
        <w:t>Legacy Terra</w:t>
      </w:r>
      <w:r>
        <w:rPr>
          <w:rFonts w:ascii="Times New Roman;Times;Serif" w:hAnsi="Times New Roman;Times;Serif"/>
          <w:b w:val="false"/>
          <w:i w:val="false"/>
          <w:caps w:val="false"/>
          <w:smallCaps w:val="false"/>
          <w:sz w:val="20"/>
        </w:rPr>
        <w:t>”), the private operating company prior to the Business Combination, continues to operate as a wholly owned subsidiary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a micro-modular nuclear reactor known as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The Company’s activities are currently centered on engineering design, technology validation, regulatory engagement, and supply chain planning related to the SOLO reactor. The SOLO reactor is designed to generate approximately 1 megawatt electric (“</w:t>
      </w:r>
      <w:r>
        <w:rPr>
          <w:rFonts w:ascii="Times New Roman;Times;Serif" w:hAnsi="Times New Roman;Times;Serif"/>
          <w:b/>
          <w:i w:val="false"/>
          <w:caps w:val="false"/>
          <w:smallCaps w:val="false"/>
          <w:sz w:val="20"/>
        </w:rPr>
        <w:t>MWe</w:t>
      </w:r>
      <w:r>
        <w:rPr>
          <w:rFonts w:ascii="Times New Roman;Times;Serif" w:hAnsi="Times New Roman;Times;Serif"/>
          <w:b w:val="false"/>
          <w:i w:val="false"/>
          <w:caps w:val="false"/>
          <w:smallCaps w:val="false"/>
          <w:sz w:val="20"/>
        </w:rPr>
        <w:t>”) of baseload power through a gas-cooled system utilizing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xml:space="preserve">”). The reactor design contemplates extended operating cycles, including refueling capabilities, subject to regulatory approval.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completed the conceptual and detailed design phases of SOLO and has validated certain key technological components. The Company has initiated pre-application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is progressing through regulatory and licensing activities required for future construction and operation. The Company has not yet constructed a commercial reactor and has not generated revenue from operations. All activities to date relate to research and development and preparation for potential future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early-stage nuclear energy technology company and has not generated revenue from its principal operations. The Company’s activities remain focused on research and development, regulatory engagement, and preparation for future commercialization of its SOLO reactor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is subject to risks and uncertainties common to early-stage development enterprises, including the ability to obtain required regulatory approvals, successfully advance its technology through the licensing process, and continue to access capital to fund operations and future commercialization efforts. The regulatory approval process for nuclear technologies is complex, time-consuming, and subject to factors beyond the Company’s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require substantial additional capital to complete development and achieve commercialization, and there can be no assurance that such financing will be available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applicable rules and regulations of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regarding interim financial reporting. Any reference in these notes to applicable guidance is meant to refer to U.S. GAAP, as found in the account standards codification (“</w:t>
      </w:r>
      <w:r>
        <w:rPr>
          <w:rFonts w:ascii="Times New Roman;Times;Serif" w:hAnsi="Times New Roman;Times;Serif"/>
          <w:b/>
          <w:i w:val="false"/>
          <w:caps w:val="false"/>
          <w:smallCaps w:val="false"/>
          <w:sz w:val="20"/>
        </w:rPr>
        <w:t>ASC</w:t>
      </w:r>
      <w:r>
        <w:rPr>
          <w:rFonts w:ascii="Times New Roman;Times;Serif" w:hAnsi="Times New Roman;Times;Serif"/>
          <w:b w:val="false"/>
          <w:i w:val="false"/>
          <w:caps w:val="false"/>
          <w:smallCaps w:val="false"/>
          <w:sz w:val="20"/>
        </w:rPr>
        <w:t>”) and Accounting Standards Updates (“</w:t>
      </w:r>
      <w:r>
        <w:rPr>
          <w:rFonts w:ascii="Times New Roman;Times;Serif" w:hAnsi="Times New Roman;Times;Serif"/>
          <w:b/>
          <w:i w:val="false"/>
          <w:caps w:val="false"/>
          <w:smallCaps w:val="false"/>
          <w:sz w:val="20"/>
        </w:rPr>
        <w:t>ASUs</w:t>
      </w:r>
      <w:r>
        <w:rPr>
          <w:rFonts w:ascii="Times New Roman;Times;Serif" w:hAnsi="Times New Roman;Times;Serif"/>
          <w:b w:val="false"/>
          <w:i w:val="false"/>
          <w:caps w:val="false"/>
          <w:smallCaps w:val="false"/>
          <w:sz w:val="20"/>
        </w:rPr>
        <w:t>”) of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xml:space="preserve">”). The interim condensed consolidated financial statements include the financial statements of Terra Innovatum Global N.V. and its subsidiaries. All intercompany balances and transactions have been eliminated. The interim condensed consolidated financial statements have been prepared on a going concern basis based on the Company’s cash and cash equivalents of $91,055 as of June 30, 2026 and the Company’s budgeted cash flows for the twelve months following the issuance date of August 14,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as of June 30, 2026 and for the three and six months ended June 30, 2026 and 2025, in the opinion of management, include all adjustments, consisting of normal recurring items, to present fairly the Company’s financial position, results of operations, and cash flows. The Company’s operating results for the three and six months ended June 30, 2026 are not necessarily indicative of the results to be expected for the full year. The interim condensed consolidated financial statements and related notes as of and for the three and six months ended June 30, 2026 have been prepared on the same basis as and should be read in conjunction with the audited consolidated financial statements for the year ended December 31, 2025. Certain information and footnote disclosures normally included in financial statements prepared in accordance with U.S. GAAP have been condensed or omitted pursuant to the rules of the SEC. The Company believes the disclosures made are adequate to keep the information presented from being misleading.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Terra completed a series of restructuring transactions (the “</w:t>
      </w:r>
      <w:r>
        <w:rPr>
          <w:rFonts w:ascii="Times New Roman;Times;Serif" w:hAnsi="Times New Roman;Times;Serif"/>
          <w:b/>
          <w:i w:val="false"/>
          <w:caps w:val="false"/>
          <w:smallCaps w:val="false"/>
          <w:sz w:val="20"/>
        </w:rPr>
        <w:t>Terra Pre-Closing Reorganization</w:t>
      </w:r>
      <w:r>
        <w:rPr>
          <w:rFonts w:ascii="Times New Roman;Times;Serif" w:hAnsi="Times New Roman;Times;Serif"/>
          <w:b w:val="false"/>
          <w:i w:val="false"/>
          <w:caps w:val="false"/>
          <w:smallCaps w:val="false"/>
          <w:sz w:val="20"/>
        </w:rPr>
        <w:t>”) to establish a holding company structure. The Terra Pre-Closing Reorganization was accounted for as a transaction between entities under common control in accordance with ASC 805-50. Accordingly, assets and liabilities were recorded at historical carrying amounts, and no goodwill, gain, or loss was recognized. As the reorganization resulted in a change in the reporting entity, the interim condensed consolidated financial statements have been retrospectively adjusted to include the historical financial results of Legacy Terra, the Company’s predecessor, for all periods presented, as if the current corporate structure had been in effect since the earliest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of the Company are presented in U.S. dollars and include the accounts of the Company and its wholly owned subsidiaries. All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whether to consolidate an entity based on whether it has a controlling financial interest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ASC 810</w:t>
      </w:r>
      <w:r>
        <w:rPr>
          <w:rFonts w:ascii="Times New Roman;Times;Serif" w:hAnsi="Times New Roman;Times;Serif"/>
          <w:b w:val="false"/>
          <w:i w:val="false"/>
          <w:caps w:val="false"/>
          <w:smallCaps w:val="false"/>
          <w:sz w:val="20"/>
        </w:rPr>
        <w:t>”). A controlling financial interest may be established through either (i) the variable interest entity (“</w:t>
      </w:r>
      <w:r>
        <w:rPr>
          <w:rFonts w:ascii="Times New Roman;Times;Serif" w:hAnsi="Times New Roman;Times;Serif"/>
          <w:b/>
          <w:i w:val="false"/>
          <w:caps w:val="false"/>
          <w:smallCaps w:val="false"/>
          <w:sz w:val="20"/>
        </w:rPr>
        <w:t>VIE</w:t>
      </w:r>
      <w:r>
        <w:rPr>
          <w:rFonts w:ascii="Times New Roman;Times;Serif" w:hAnsi="Times New Roman;Times;Serif"/>
          <w:b w:val="false"/>
          <w:i w:val="false"/>
          <w:caps w:val="false"/>
          <w:smallCaps w:val="false"/>
          <w:sz w:val="20"/>
        </w:rPr>
        <w:t>”) model or (ii) the voting interest model (“</w:t>
      </w:r>
      <w:r>
        <w:rPr>
          <w:rFonts w:ascii="Times New Roman;Times;Serif" w:hAnsi="Times New Roman;Times;Serif"/>
          <w:b/>
          <w:i w:val="false"/>
          <w:caps w:val="false"/>
          <w:smallCaps w:val="false"/>
          <w:sz w:val="20"/>
        </w:rPr>
        <w:t>VOE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VIE model, an entity is considered a VIE if, among other factors, (i) the equity investment at risk is not sufficient to permit the entity to finance its activities without additional subordinated financial support, (ii) the equity holders lack the characteristics of a controlling financial interest, or (iii) voting rights are not substantive. The Company consolidates a VIE if it is the primary beneficiary, defined as the party that both (i) has the power to direct the activities that most significantly impact the entity’s economic performance and (ii) has the obligation to absorb losses or the right to receive benefits that could potentially be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entity does not meet the definition of a VIE, the Company evaluates consolidation under the voting interest model. Under this model, the Company consolidates entities in which it has a controlling financial interest, generally evidenced by ownership of a majority of the voting interests. The Company has evaluated its legal entities under ASC 810-10-15-14 and determined that none meet the definition of a VIE. Accordingly, all such entities are considered VOEs, and the Company applies the voting interest model and consolidates its subsidiaries based on its controlling financial interest, which is evidenced by 100% ownership of the voting interests.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 and Transaction Gains and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while its functional currency is the Euro (“€”), which it uses for conducting business and maintaining its books and records. The accompanying interim condensed consolidated financial statements are presented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foreign currencies are remeasured at period-end exchange rates, and resulting foreign exchange gains and losses are recognized in earnings. For such monetary assets and liabilities that are measured at fair value, the Company has elected to present foreign exchange gains and losses arising from remeasurement within the same line item as the change in fair value of the underlying instruments in the interim condensed consolidated statements of operations, as such amounts are considered an integral component of the overall fair value measurement. For other monetary assets and liabilities not measured at fair value, foreign exchange gains and losses are presented within other income (expense) in the interim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830-30, </w:t>
      </w:r>
      <w:r>
        <w:rPr>
          <w:rFonts w:ascii="Times New Roman;Times;Serif" w:hAnsi="Times New Roman;Times;Serif"/>
          <w:b w:val="false"/>
          <w:i/>
          <w:caps w:val="false"/>
          <w:smallCaps w:val="false"/>
          <w:sz w:val="20"/>
        </w:rPr>
        <w:t>Translation of Financial Statements</w:t>
      </w:r>
      <w:r>
        <w:rPr>
          <w:rFonts w:ascii="Times New Roman;Times;Serif" w:hAnsi="Times New Roman;Times;Serif"/>
          <w:b w:val="false"/>
          <w:i w:val="false"/>
          <w:caps w:val="false"/>
          <w:smallCaps w:val="false"/>
          <w:sz w:val="20"/>
        </w:rPr>
        <w:t>, the Company and its subsidiary, Legacy Terra, translates its assets and liabilities from its functional currency into US$ using the exchange rate at the balance sheet date. Revenues and expenses are translated at the average exchange rate for the reporting period. Translation gains and losses are recorded as a separate component of accumulated other comprehensive income (“</w:t>
      </w:r>
      <w:r>
        <w:rPr>
          <w:rFonts w:ascii="Times New Roman;Times;Serif" w:hAnsi="Times New Roman;Times;Serif"/>
          <w:b/>
          <w:i w:val="false"/>
          <w:caps w:val="false"/>
          <w:smallCaps w:val="false"/>
          <w:sz w:val="20"/>
        </w:rPr>
        <w:t>AOCI</w:t>
      </w:r>
      <w:r>
        <w:rPr>
          <w:rFonts w:ascii="Times New Roman;Times;Serif" w:hAnsi="Times New Roman;Times;Serif"/>
          <w:b w:val="false"/>
          <w:i w:val="false"/>
          <w:caps w:val="false"/>
          <w:smallCaps w:val="false"/>
          <w:sz w:val="20"/>
        </w:rPr>
        <w:t>”) within the interim condensed consolidated statements of changes in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are translated at average exchange rates for the reporting period. As a result, the amounts presented in the interim condensed consolidated statements of cash flows may not directly reconcile with the corresponding changes in balances reported on the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net foreign currency transaction gains recognized in the interim condensed consolidated statements of operations and comprehensive income, primarily from remeasurement of monetary assets and liabilities denominated in currencies other than the functional currency, totaled approximately $646 and $2,815 respectively, and are included in other income (expense).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Derivative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and other equity-linked financial instruments, including contingently issuable warrants, under ASC 815-40, </w:t>
      </w:r>
      <w:r>
        <w:rPr>
          <w:rFonts w:ascii="Times New Roman;Times;Serif" w:hAnsi="Times New Roman;Times;Serif"/>
          <w:b w:val="false"/>
          <w:i/>
          <w:caps w:val="false"/>
          <w:smallCaps w:val="false"/>
          <w:sz w:val="20"/>
        </w:rPr>
        <w:t>Derivatives and Hedging—Contracts in an Entity’s Own Equity</w:t>
      </w:r>
      <w:r>
        <w:rPr>
          <w:rFonts w:ascii="Times New Roman;Times;Serif" w:hAnsi="Times New Roman;Times;Serif"/>
          <w:b w:val="false"/>
          <w:i w:val="false"/>
          <w:caps w:val="false"/>
          <w:smallCaps w:val="false"/>
          <w:sz w:val="20"/>
        </w:rPr>
        <w:t xml:space="preserve">, and ASC 480-10,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to determine appropriate classification and subsequent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Instruments that meet the conditions for equity classification under ASC 815-40 (including being indexed to the Company’s own stock and requiring physical or net share settlement with no provisions that could require cash settlement outside the Company’s control) are classified in equity at issuance and are not subsequently remeasured.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that do not meet the equity-classification conditions under ASC 815-40 or that otherwise meet liability-classification criteria under ASC 480-10 are classified as liabilities. Such instruments are initially measured at fair value and subsequently remeasured at each reporting date, with changes in fair value recognized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815-40, equity-linked instruments that are contingently issuable, exercisable, or settleable are considered issued for accounting purposes when an enforceable contract or arrangement exists, regardless of whether the contingencies have been resolved. Accordingly, contingently issuable warrants entered into prior to the consummation of a business combination (including warrants issuable upon the completion of a de-SPAC transaction) are recognized prior to the de-SPAC, provided that the counterparty has delivered consideration or performed under the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Contingently issuable warrants are evaluated at inception to determine whether they qualify for equity classification or represent liability-classified equity-linked instruments prior to resolution of the contingency. Liability-classified contingent warrants are initially measured at fair value on the issuance date and subsequently remeasured at fair value at each reporting date, with changes in fair value recognized in earnings, until the contingency is resolved or equity classification becomes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resolution of a contingency for instruments that qualify for equity classification, any previously liability-classified warrants are reclassified to equity at their fair value on the resolution date and are not remeasured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whether warrants or other equity-linked instruments contain foreign-currency-denominated exercise prices or other cross-currency features. Instruments that are not indexed to the Company’s functional currency, as determined under ASC 815-40, are classified as liabilities and measured at fair value, with changes recognized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Share-settled 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arrangements that require settlement through the issuance of its ordinary shares upon the occurrence of specified contingent events. The Company evaluates such arrangements to determine the appropriate classification as either a liability or equity in accordance with ASC 480-10, Distinguishing Liabilities from Equity, and ASC 815-40, Contracts in Entity’s Own Equity. An obligation is classified as a liability when the arrangement requires settlement for a fixed or determinable monetary amount through the issuance of a variable number of shares or otherwise does not meet the criteria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Share-settled contingent liabilities are initially recorded at fair value and subsequently remeasured at fair value at each reporting date, with changes in fair value, including the effect of foreign exchange translation, recognized in change in fair value – share settled contingent liability in the interim condensed consolidated statements of operations and comprehensive income. The liability is derecognized upon settlement or extinguishment of the underlying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 requires management judgment and the use of significant estimates, including assumptions regarding the expected term of the contingent obligation (i.e., the estimated period until the contingency is resolved or the award settles), the Company’s stock-price volatility over that expected term, the probability of achieving any relevant performance or market conditions, and appropriate discount rates. Expected term is based on the contractual term of the arrangement, adjusted as necessary for management’s expectations about the timing of settlement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that contain settlement features not solely indexed to the Company’s own stock, or that may require issuing a variable number of ordinary shares, are classified as liabilities and remeasured at fair value each period. Preferred shares that require or permit settlement solely in equity instruments and meet equity classification criteria are recorded in permanent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9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parties are measured at the exchange amount, which is the amount established and agreed to by the related parties. The Company discloses material related-party transactions, including loans, engineering agreements, leases, and service arrangements. Related-party transactions are reviewed by management for reasonableness; however, such transactions may not be conducted at terms equivalent to those that prevail in arm’s-length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domiciled in the Netherlands. However, it is subject to taxation under Italian tax laws. The Company is not currently subject to U.S. federal or state income taxes on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under the asset and liability method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Under this method, deferred tax assets and liabilities are recognized for the estimated future tax consequences attributable to differences between financial statement carrying amounts of existing assets and liabilities and their respective tax bases. Deferred tax assets and liabilities are measured using enacted rates in effect for the year in which these temporary differences are expected to be recovered or settled. Valuation allowances are provided if, based on the weight of available evidence, it is more likely than not that some or all of the deferred tax assets will not be realized. Management believes that it is more likely than not that all deferred tax assets will not be realized.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potential tax payments to various tax authorities related to uncertain tax positions. The liabilities are based on a determination of whether and how much of a tax benefit taken by the Company in its tax filing is more likely than not to be realized following resolution of any potential contingencies present related to the tax benefit. Potential interest and penalties associated with such uncertain tax positions, if any, are recorded as components of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its income tax positions and records tax benefits for all years subject to examination based upon management’s evaluation of the facts, circumstances and information available as of the reporting date. For those tax positions where it is more likely than not that a tax benefit will be sustained, the Company records the largest amount of tax benefit with a greater than 50 percent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 </w:t>
      </w:r>
      <w:r>
        <w:rPr>
          <w:rFonts w:ascii="Times New Roman;Times;Serif" w:hAnsi="Times New Roman;Times;Serif"/>
          <w:b w:val="false"/>
          <w:i w:val="false"/>
          <w:caps w:val="false"/>
          <w:smallCaps w:val="false"/>
          <w:sz w:val="20"/>
        </w:rPr>
        <w:t>Subsequently, in January 2025, the FASB issued ASU No. 2025-01 to clarify the effective date of this guidance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ASU 2024-03 requires enhanced disclosure regarding specific expense categories, such as inventory costs, employee compensation, and depreciation, within the notes to the financial statements. The pronouncement is effective for annual reporting periods in fiscal years beginning after December 15, 2026, and for interim reporting periods beginning after December 15, 2027, with early adoption permitted. The guidance allows for either prospective or retrospective application. The Company does not expect the adoption of this pronouncement to have a material impact to its interim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2025-07, </w:t>
      </w:r>
      <w:r>
        <w:rPr>
          <w:rFonts w:ascii="Times New Roman;Times;Serif" w:hAnsi="Times New Roman;Times;Serif"/>
          <w:b w:val="false"/>
          <w:i/>
          <w:caps w:val="false"/>
          <w:smallCaps w:val="false"/>
          <w:sz w:val="20"/>
        </w:rPr>
        <w:t>Derivatives and Hedging (Topic 815) and Revenue from Contracts with Customers (Topic 606): Derivative Scope Refinements and Scope Clarification for Share-Based Noncash Consideration from a Customer in a Revenue Contract</w:t>
      </w:r>
      <w:r>
        <w:rPr>
          <w:rFonts w:ascii="Times New Roman;Times;Serif" w:hAnsi="Times New Roman;Times;Serif"/>
          <w:b w:val="false"/>
          <w:i w:val="false"/>
          <w:caps w:val="false"/>
          <w:smallCaps w:val="false"/>
          <w:sz w:val="20"/>
        </w:rPr>
        <w:t xml:space="preserve"> (ASU 2025-07), which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guidance is effective for annual periods beginning after December 15, 2026 and interim periods within those annual reporting periods. Early adoption is permitted. The Company is currently evaluating the impact of the adoption of this pronouncement,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lease agreement with Nine Nuclear and Industrial Engineering S.R.L. (“</w:t>
      </w:r>
      <w:r>
        <w:rPr>
          <w:rFonts w:ascii="Times New Roman;Times;Serif" w:hAnsi="Times New Roman;Times;Serif"/>
          <w:b/>
          <w:i w:val="false"/>
          <w:caps w:val="false"/>
          <w:smallCaps w:val="false"/>
          <w:sz w:val="20"/>
        </w:rPr>
        <w:t>Nine</w:t>
      </w:r>
      <w:r>
        <w:rPr>
          <w:rFonts w:ascii="Times New Roman;Times;Serif" w:hAnsi="Times New Roman;Times;Serif"/>
          <w:b w:val="false"/>
          <w:i w:val="false"/>
          <w:caps w:val="false"/>
          <w:smallCaps w:val="false"/>
          <w:sz w:val="20"/>
        </w:rPr>
        <w:t>”),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monthly and an immaterial monthly fee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with the total monthly amount to be paid no later than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The Lease Fee will be updated annually by 75% of the variation in the official consumer price indices for worker and employee families as determined by the Italian Statistics Day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xml:space="preserve">”) in the previous year and subsequently year by year, with the first update taking effect on April 1, 2026. During the three and six months ended June 30, 2026, the Company paid $3 and $6 in rent,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Services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the Company entered into an engineering services agreement with Nine, a related party, to support the design of the SOLO project. Per the terms of the agreement, Nine committed to deliver certain technical services to the Company with a total value of $215 (€184) plus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xml:space="preserve">”). The costs associated with these services were expensed during the six months ended June 30, 2026. Any unpaid amounts as of quarter-end are included in accrued expenses and other current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Prepaid Expenses and Other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4880"/>
        <w:gridCol w:w="60"/>
        <w:gridCol w:w="175"/>
        <w:gridCol w:w="700"/>
        <w:gridCol w:w="60"/>
        <w:gridCol w:w="60"/>
        <w:gridCol w:w="283"/>
        <w:gridCol w:w="1132"/>
        <w:gridCol w:w="7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Value added tax</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407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Technical consultancy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Bank interest accrued</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375</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Membership fees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997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Tax receivables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757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Advisory fees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243</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Advertising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rPr>
            </w:pPr>
            <w:r>
              <w:rPr>
                <w:b/>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603" w:type="dxa"/>
        <w:jc w:val="left"/>
        <w:tblInd w:w="0" w:type="dxa"/>
        <w:tblLayout w:type="fixed"/>
        <w:tblCellMar>
          <w:top w:w="0" w:type="dxa"/>
          <w:left w:w="0" w:type="dxa"/>
          <w:bottom w:w="0" w:type="dxa"/>
          <w:right w:w="0" w:type="dxa"/>
        </w:tblCellMar>
      </w:tblPr>
      <w:tblGrid>
        <w:gridCol w:w="2990"/>
        <w:gridCol w:w="60"/>
        <w:gridCol w:w="235"/>
        <w:gridCol w:w="639"/>
        <w:gridCol w:w="95"/>
        <w:gridCol w:w="60"/>
        <w:gridCol w:w="380"/>
        <w:gridCol w:w="1034"/>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Fixed assets not in service</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b/>
              </w:rPr>
            </w:pPr>
            <w:r>
              <w:rPr>
                <w:b/>
              </w:rPr>
              <w:t>Equipment,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equipment was $8 and $14 during the three and six months ended June 30, 2026, respectively. There was no depreciation expense in the three and six months ended June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entered into a lease for office space in Lucca, Italy, with a noncancelable term commencing April 1, 2026 and expiring March 31, 2032. The lease provides for annual base rent of approximately $88 (€75), which is adjusted annually in accordance with the variation in the Italian consumer price index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xml:space="preserve">”), as required under Italian commercial lease law. These index-based rent adjustments are variable lease payments and are recognized as expense in the period incurred; they are not included in the measurement of the lease liability or right-of-use asset.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contains a lease at inception and records a right-of-use (“</w:t>
      </w:r>
      <w:r>
        <w:rPr>
          <w:rFonts w:ascii="Times New Roman;Times;Serif" w:hAnsi="Times New Roman;Times;Serif"/>
          <w:b/>
          <w:i w:val="false"/>
          <w:caps w:val="false"/>
          <w:smallCaps w:val="false"/>
          <w:sz w:val="20"/>
        </w:rPr>
        <w:t>ROU”</w:t>
      </w:r>
      <w:r>
        <w:rPr>
          <w:rFonts w:ascii="Times New Roman;Times;Serif" w:hAnsi="Times New Roman;Times;Serif"/>
          <w:b w:val="false"/>
          <w:i w:val="false"/>
          <w:caps w:val="false"/>
          <w:smallCaps w:val="false"/>
          <w:sz w:val="20"/>
        </w:rPr>
        <w:t>) asset and lease liability for leases with terms greater than twelve months.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cost was $22 during both the three and six months ended June 30, 2026. The cash paid for amounts included in the measurement of operating lease liabilities was $22 during both the three and six months ended June 30, 2026. The weighted average remaining lease term was 5.75 years, and the weighted-average discount rate was 9.22% as of June 30, 2026.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under operating leases as of June 30, 2026, were as follows:</w:t>
      </w:r>
    </w:p>
    <w:p>
      <w:pPr>
        <w:pStyle w:val="TextBody"/>
        <w:bidi w:val="0"/>
        <w:spacing w:before="0" w:after="0"/>
        <w:ind w:left="0" w:right="0" w:firstLine="450"/>
        <w:jc w:val="both"/>
        <w:rPr>
          <w:caps w:val="false"/>
          <w:smallCaps w:val="false"/>
        </w:rPr>
      </w:pPr>
      <w:r>
        <w:rPr>
          <w:caps w:val="false"/>
          <w:smallCaps w:val="false"/>
        </w:rPr>
        <w:t> </w:t>
      </w:r>
    </w:p>
    <w:tbl>
      <w:tblPr>
        <w:tblW w:w="5099" w:type="dxa"/>
        <w:jc w:val="left"/>
        <w:tblInd w:w="0" w:type="dxa"/>
        <w:tblLayout w:type="fixed"/>
        <w:tblCellMar>
          <w:top w:w="0" w:type="dxa"/>
          <w:left w:w="0" w:type="dxa"/>
          <w:bottom w:w="0" w:type="dxa"/>
          <w:right w:w="0" w:type="dxa"/>
        </w:tblCellMar>
      </w:tblPr>
      <w:tblGrid>
        <w:gridCol w:w="3140"/>
        <w:gridCol w:w="60"/>
        <w:gridCol w:w="420"/>
        <w:gridCol w:w="1369"/>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2026 (remaining)</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369" w:type="dxa"/>
            <w:tcBorders/>
            <w:shd w:fill="CCEEFF" w:val="cle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107</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494</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b/>
              </w:rPr>
            </w:pPr>
            <w:r>
              <w:rPr>
                <w:b/>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4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9" w:type="dxa"/>
            <w:tcBorders>
              <w:bottom w:val="double" w:sz="10" w:space="0" w:color="000000"/>
            </w:tcBorders>
            <w:shd w:fill="CCEEFF" w:val="clear"/>
            <w:tcMar>
              <w:bottom w:w="28" w:type="dxa"/>
            </w:tcM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Accrued Expenses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5210"/>
        <w:gridCol w:w="60"/>
        <w:gridCol w:w="175"/>
        <w:gridCol w:w="700"/>
        <w:gridCol w:w="60"/>
        <w:gridCol w:w="60"/>
        <w:gridCol w:w="283"/>
        <w:gridCol w:w="1132"/>
        <w:gridCol w:w="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Legal, accounting and other professional services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947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Value added tax payable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315</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Technical consultancy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238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Directors compensation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113</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Wages payable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329</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Not Recorded at Fair Value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short-term nature, the carrying value of the Company’s cash and cash equivalents, prepaid expenses and other current assets, accounts receivable, accounts payable and other non-current liabilities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Recorded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Share-settled Contingent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consummation of the Business Combination on October 9, 2025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Company entered into share-settled arrangements involving (i) contingently Convertible Preferred Shares issued to former Terra Innovatum Global Srl. quotaholders and (ii) contingently vesting GSR III Sponsor LLC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ordinary shares subject to market-based and regulatory milestones. These arrangements may result in the issuance or vesting of a variable number of ordinary shares and are not solely indexed to the Company’s stock price. As a result, they were initially classified and measured as liabilities at fair value, with the related amounts recorded within share-settled contingent liability in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certain milestones were achieved, resulting in the settlement of a portion of these arrangements. Immediately prior to settlement, the corresponding share-settled contingent liability was remeasured to fair value. Upon settlement, the related liability was reclassified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unearned milestone tranches remain classified as share-settled contingent liabilities and are remeasured at fair value at each reporting date, with changes recognized in earnings until the applicable milestones are achieved or expire.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summary of changes in the estimated fair value of the Share-Settled Contingent Liability using significant Level 3 inputs: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95"/>
        <w:gridCol w:w="60"/>
        <w:gridCol w:w="140"/>
        <w:gridCol w:w="800"/>
        <w:gridCol w:w="110"/>
      </w:tblGrid>
      <w:tr>
        <w:trPr/>
        <w:tc>
          <w:tcPr>
            <w:tcW w:w="9095"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186,323</w:t>
            </w:r>
          </w:p>
        </w:tc>
        <w:tc>
          <w:tcPr>
            <w:tcW w:w="110" w:type="dxa"/>
            <w:tcBorders/>
            <w:shd w:fill="CCEEFF" w:val="clear"/>
            <w:vAlign w:val="center"/>
          </w:tcPr>
          <w:p>
            <w:pPr>
              <w:pStyle w:val="TableContents"/>
              <w:bidi w:val="0"/>
              <w:spacing w:before="0" w:after="283"/>
              <w:jc w:val="left"/>
              <w:rPr/>
            </w:pPr>
            <w:r>
              <w:rPr/>
              <w:t> </w:t>
            </w:r>
          </w:p>
        </w:tc>
      </w:tr>
      <w:tr>
        <w:trPr/>
        <w:tc>
          <w:tcPr>
            <w:tcW w:w="9095" w:type="dxa"/>
            <w:tcBorders/>
            <w:shd w:fill="FFFFFF" w:val="clear"/>
            <w:vAlign w:val="center"/>
          </w:tcPr>
          <w:p>
            <w:pPr>
              <w:pStyle w:val="TableContents"/>
              <w:bidi w:val="0"/>
              <w:spacing w:before="0" w:after="283"/>
              <w:jc w:val="left"/>
              <w:rPr/>
            </w:pPr>
            <w:r>
              <w:rPr/>
              <w:t>Loss recognized in earnings due to change of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3,335</w:t>
            </w:r>
          </w:p>
        </w:tc>
        <w:tc>
          <w:tcPr>
            <w:tcW w:w="110" w:type="dxa"/>
            <w:tcBorders/>
            <w:shd w:fill="FFFFFF" w:val="clear"/>
            <w:vAlign w:val="center"/>
          </w:tcPr>
          <w:p>
            <w:pPr>
              <w:pStyle w:val="TableContents"/>
              <w:bidi w:val="0"/>
              <w:spacing w:before="0" w:after="283"/>
              <w:jc w:val="left"/>
              <w:rPr/>
            </w:pPr>
            <w:r>
              <w:rPr/>
              <w:t> </w:t>
            </w:r>
          </w:p>
        </w:tc>
      </w:tr>
      <w:tr>
        <w:trPr/>
        <w:tc>
          <w:tcPr>
            <w:tcW w:w="909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(3,798</w:t>
            </w:r>
          </w:p>
        </w:tc>
        <w:tc>
          <w:tcPr>
            <w:tcW w:w="110" w:type="dxa"/>
            <w:tcBorders/>
            <w:shd w:fill="CCEEFF" w:val="clear"/>
            <w:vAlign w:val="center"/>
          </w:tcPr>
          <w:p>
            <w:pPr>
              <w:pStyle w:val="TableContents"/>
              <w:bidi w:val="0"/>
              <w:spacing w:before="0" w:after="283"/>
              <w:jc w:val="left"/>
              <w:rPr/>
            </w:pPr>
            <w:r>
              <w:rPr/>
              <w:t>)</w:t>
            </w:r>
          </w:p>
        </w:tc>
      </w:tr>
      <w:tr>
        <w:trPr/>
        <w:tc>
          <w:tcPr>
            <w:tcW w:w="9095"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185,860</w:t>
            </w:r>
          </w:p>
        </w:tc>
        <w:tc>
          <w:tcPr>
            <w:tcW w:w="110" w:type="dxa"/>
            <w:tcBorders/>
            <w:shd w:fill="FFFFFF" w:val="clear"/>
            <w:vAlign w:val="center"/>
          </w:tcPr>
          <w:p>
            <w:pPr>
              <w:pStyle w:val="TableContents"/>
              <w:bidi w:val="0"/>
              <w:spacing w:before="0" w:after="283"/>
              <w:jc w:val="left"/>
              <w:rPr/>
            </w:pPr>
            <w:r>
              <w:rPr/>
              <w:t> </w:t>
            </w:r>
          </w:p>
        </w:tc>
      </w:tr>
      <w:tr>
        <w:trPr/>
        <w:tc>
          <w:tcPr>
            <w:tcW w:w="9095" w:type="dxa"/>
            <w:tcBorders/>
            <w:shd w:fill="CCEEFF" w:val="clear"/>
            <w:vAlign w:val="center"/>
          </w:tcPr>
          <w:p>
            <w:pPr>
              <w:pStyle w:val="TableContents"/>
              <w:bidi w:val="0"/>
              <w:spacing w:before="0" w:after="283"/>
              <w:jc w:val="left"/>
              <w:rPr/>
            </w:pPr>
            <w:r>
              <w:rPr/>
              <w:t>Loss recognized in earnings due to change of fair value, net of foreign currency remeasurement impact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12,492</w:t>
            </w:r>
          </w:p>
        </w:tc>
        <w:tc>
          <w:tcPr>
            <w:tcW w:w="110" w:type="dxa"/>
            <w:tcBorders/>
            <w:shd w:fill="CCEEFF" w:val="clear"/>
            <w:vAlign w:val="center"/>
          </w:tcPr>
          <w:p>
            <w:pPr>
              <w:pStyle w:val="TableContents"/>
              <w:bidi w:val="0"/>
              <w:spacing w:before="0" w:after="283"/>
              <w:jc w:val="left"/>
              <w:rPr/>
            </w:pPr>
            <w:r>
              <w:rPr/>
              <w:t> </w:t>
            </w:r>
          </w:p>
        </w:tc>
      </w:tr>
      <w:tr>
        <w:trPr/>
        <w:tc>
          <w:tcPr>
            <w:tcW w:w="909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(1,825</w:t>
            </w:r>
          </w:p>
        </w:tc>
        <w:tc>
          <w:tcPr>
            <w:tcW w:w="110" w:type="dxa"/>
            <w:tcBorders/>
            <w:shd w:fill="FFFFFF" w:val="clear"/>
            <w:vAlign w:val="center"/>
          </w:tcPr>
          <w:p>
            <w:pPr>
              <w:pStyle w:val="TableContents"/>
              <w:bidi w:val="0"/>
              <w:spacing w:before="0" w:after="283"/>
              <w:jc w:val="left"/>
              <w:rPr/>
            </w:pPr>
            <w:r>
              <w:rPr/>
              <w:t>)</w:t>
            </w:r>
          </w:p>
        </w:tc>
      </w:tr>
      <w:tr>
        <w:trPr/>
        <w:tc>
          <w:tcPr>
            <w:tcW w:w="9095"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196,527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Share-Settled Contingent Liability using the Monte Carlo option pricing model with the following inputs: </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3830"/>
        <w:gridCol w:w="60"/>
        <w:gridCol w:w="60"/>
        <w:gridCol w:w="890"/>
        <w:gridCol w:w="230"/>
      </w:tblGrid>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6.3</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127.5</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3.90 - 4.78</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the Share-settled Contingent Liability is classified within Level 3 of the fair value hierarchy due to the use of significant unobservable inputs. The valuation is sensitive to changes in expected volatility and the probability-weighted outcomes associated with achieving the applicable market-based and regulatory milestones, such that increases in these assumptions would generally result in a higher fair value measurement and decreases would result in a lower fair value measurement. Certain unobservable inputs are interrelated, and changes in one assumption may magnify or mitigate the effects of changes in other assumptions. Changes in these unobservable inputs are subject to estimation uncertainty, and reasonably different assumptions could have resulted in a materially different fair value measurement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to the PIPE Investor and Bridge Loan lenders in connection with the Merger are accounted for as liabilities in accordance with ASC 815-40 and are presented within warrant liabilities in the consolidated balance sheets. Warrant liabilities are measured at fair value at inception and on a recurring basis, with changes in fair value presented within change in fair value of warrant liabilities in the interim condensed consolidated statements of operations and comprehensive income (loss).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liability-classified warrants is estimated using a Monte Carlo simulation model, which considers the probability-weighted outcomes of future share price paths. Significant inputs used in the valuation include the Company’s share price at the valuation date, expected share price volatility, risk-free interest rate, expected term of the warrants, and expected dividend yield.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valuation relies on significant unobservable inputs, the liability-classified warrants are classified within Level 3 of the fair value hierarchy.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liability-classified warrants is sensitive to changes in key unobservable inputs, particularly expected share price volatility and the probability-weighted outcomes of future share price paths. Increases in expected volatility would generally result in a higher fair value measurement, while decreases would result in a lower fair value. Additionally, changes in assumptions regarding the Company’s expected share price performance could materially affect the estimated fair value. Although management believes the assumptions used are reasonable and consistent with available market information, different assumptions could have resulted in a materially different fair value measurement at the reporting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assumptions used in the valuation of the liability-classified warrants as of June 30, 2026:</w:t>
      </w:r>
    </w:p>
    <w:p>
      <w:pPr>
        <w:pStyle w:val="TextBody"/>
        <w:bidi w:val="0"/>
        <w:spacing w:before="0" w:after="0"/>
        <w:ind w:left="0" w:right="0" w:firstLine="72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3830"/>
        <w:gridCol w:w="60"/>
        <w:gridCol w:w="148"/>
        <w:gridCol w:w="1387"/>
        <w:gridCol w:w="215"/>
        <w:gridCol w:w="60"/>
        <w:gridCol w:w="126"/>
        <w:gridCol w:w="1184"/>
        <w:gridCol w:w="23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 Warrant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Bridge Loan</w:t>
              <w:br/>
              <w:t>Warrant</w:t>
            </w:r>
          </w:p>
        </w:tc>
        <w:tc>
          <w:tcPr>
            <w:tcW w:w="23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4.28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2.28</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127.5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125.0</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there were no transfers between levels of the fair value hierarchy.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Equity-Classified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issued warrants to certain investors to purchase up to 1,000,000 ordinary shares at an exercise price of $7.00 per share. The warrants are exercisable for a term of five years and are classified as equity. These warrants were issued in exchange for advisory services and accounted for as share-based compensation under ASC 718.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Liability-Classified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outstanding warrants issued in connection with the PIPE financing and prior bridge arrangements. These warrants are exercisable at prices ranging from $11.50 to $16.00 per share and have terms of up to five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classified as liabilities as they are not considered indexed to the Company’s functional currency in accordance with ASC 815-40. As a result, the warrants are recorded at fair value upon issuance and remeasured at fair value at each reporting date, with changes in fair value recognized in the interim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warrants were issued in connection with bridge loans that were outstanding prior to the Business Combination and were converted into equity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the Company’s warrant liabilities for the period ended June 30,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60"/>
        <w:gridCol w:w="60"/>
        <w:gridCol w:w="184"/>
        <w:gridCol w:w="736"/>
        <w:gridCol w:w="95"/>
        <w:gridCol w:w="60"/>
        <w:gridCol w:w="262"/>
        <w:gridCol w:w="1048"/>
        <w:gridCol w:w="100"/>
      </w:tblGrid>
      <w:tr>
        <w:trPr/>
        <w:tc>
          <w:tcPr>
            <w:tcW w:w="76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w:t>
              <w:br/>
              <w:t>Warrant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Bridge Loan</w:t>
              <w:br/>
              <w:t>Warrant</w:t>
            </w:r>
          </w:p>
        </w:tc>
        <w:tc>
          <w:tcPr>
            <w:tcW w:w="100" w:type="dxa"/>
            <w:tcBorders/>
            <w:vAlign w:val="center"/>
          </w:tcPr>
          <w:p>
            <w:pPr>
              <w:pStyle w:val="TableContents"/>
              <w:bidi w:val="0"/>
              <w:spacing w:before="0" w:after="283"/>
              <w:ind w:left="0" w:right="0" w:hanging="180"/>
              <w:jc w:val="left"/>
              <w:rPr/>
            </w:pPr>
            <w:r>
              <w:rPr/>
              <w:t> </w:t>
            </w:r>
          </w:p>
        </w:tc>
      </w:tr>
      <w:tr>
        <w:trPr/>
        <w:tc>
          <w:tcPr>
            <w:tcW w:w="7660"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4,305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660" w:type="dxa"/>
            <w:tcBorders/>
            <w:shd w:fill="FFFFFF" w:val="clear"/>
            <w:vAlign w:val="center"/>
          </w:tcPr>
          <w:p>
            <w:pPr>
              <w:pStyle w:val="TableContents"/>
              <w:bidi w:val="0"/>
              <w:spacing w:before="0" w:after="283"/>
              <w:jc w:val="left"/>
              <w:rPr/>
            </w:pPr>
            <w:r>
              <w:rPr/>
              <w:t>Loss (gain) recognized in earnings due to change in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(154</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66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(83</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660"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4,068</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660" w:type="dxa"/>
            <w:tcBorders/>
            <w:shd w:fill="CCEEFF" w:val="clear"/>
            <w:vAlign w:val="center"/>
          </w:tcPr>
          <w:p>
            <w:pPr>
              <w:pStyle w:val="TableContents"/>
              <w:bidi w:val="0"/>
              <w:spacing w:before="0" w:after="283"/>
              <w:jc w:val="left"/>
              <w:rPr/>
            </w:pPr>
            <w:r>
              <w:rPr/>
              <w:t>Loss recognized in earnings due to change in fair value, net of foreign currency remeasurement impact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660" w:type="dxa"/>
            <w:tcBorders/>
            <w:shd w:fill="FFFFFF" w:val="clear"/>
            <w:vAlign w:val="center"/>
          </w:tcPr>
          <w:p>
            <w:pPr>
              <w:pStyle w:val="TableContents"/>
              <w:bidi w:val="0"/>
              <w:spacing w:before="0" w:after="283"/>
              <w:jc w:val="left"/>
              <w:rPr/>
            </w:pPr>
            <w:r>
              <w:rPr/>
              <w:t>Foreign currency translation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660"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4,104</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8 – Fair Value Measurements for additional information regarding the valuation of the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Authorized Share Capital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500,000,000 ordinary shares with a par value of €0.01 per share and 8,040 convertible preferred shares with a par value of €100 per share. Upon conversion of one or more of the convertible preferred shares into ordinary shares, the authorized share capital shall decrease with the number of convertible preferred shares so converted and shall increase with the number of ordinary shares into which such convertible preferred shares were converted.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Vesting Sponsor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549,500 ordinary shares were issued as vesting Sponsor shares. As of June 30, 2026, approximately 50% of these shares have vested, with the remaining shares subject to vesting conditions. The unvested shares are classified as a share-settled contingent liability in the consolidated balance sheets.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8,000 convertible preferred shares that are mandatorily convertible into ordinary shares upon achievement of specified milestones. As of June 30, 2026, 4,000 shares have converted into ordinary shares, and the remaining 4,000 shares are outstanding and classified as share-settled contingent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SPAC Financial Advisor Preferred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40 convertible preferred shares to a financial advisor as share-based compensation. As of June 30, 2026, 20 shares have converted into ordinary shares and 20 remain outstanding. These awards are classified in equity and accounted for under ASC 718.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9 – Warrants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and Advisory Services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investor relations and advisory agreement under which it pays a fixed monthly fee, along with certain variable charges. The agreement automatically renewed in April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Advisory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various capital markets advisory agreements with third-party service providers. These agreements include fixed fee commitments payable over contractual terms ranging from approximately one to two years. Certain agreements include customary termination and change-in-control provisions.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and Development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agreements with third-party vendors to support engineering, licensing, and development activities related to the SOLO project. Payments under these agreements are based on contractual milestones, time-based services, or invoiced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Advisor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an agreement with an independent contractor providing strategic advisory services. Compensation under the agreement includes potential equity-based awards and a commission on qualifying business opportunities. As of June 30, 2026, no equity awards have been granted under this arrangement.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completed a business combination on October 9, 2025, which was accounted for as a recapitalization. Accordingly, historical share information has been retroactively restated to reflect 47,500,000 ordinary shares for periods prior to Closing.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ordinary shareholders were calculated as follows (in thousands except share and per share amounts):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4"/>
        <w:gridCol w:w="60"/>
        <w:gridCol w:w="149"/>
        <w:gridCol w:w="1303"/>
        <w:gridCol w:w="101"/>
        <w:gridCol w:w="64"/>
        <w:gridCol w:w="149"/>
        <w:gridCol w:w="1174"/>
        <w:gridCol w:w="95"/>
        <w:gridCol w:w="60"/>
        <w:gridCol w:w="140"/>
        <w:gridCol w:w="1230"/>
        <w:gridCol w:w="95"/>
        <w:gridCol w:w="60"/>
        <w:gridCol w:w="140"/>
        <w:gridCol w:w="1109"/>
        <w:gridCol w:w="482"/>
      </w:tblGrid>
      <w:tr>
        <w:trPr/>
        <w:tc>
          <w:tcPr>
            <w:tcW w:w="3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482" w:type="dxa"/>
            <w:tcBorders/>
            <w:vAlign w:val="center"/>
          </w:tcPr>
          <w:p>
            <w:pPr>
              <w:pStyle w:val="TableContents"/>
              <w:bidi w:val="0"/>
              <w:spacing w:before="0" w:after="283"/>
              <w:jc w:val="left"/>
              <w:rPr/>
            </w:pPr>
            <w:r>
              <w:rPr/>
              <w:t> </w:t>
            </w:r>
          </w:p>
        </w:tc>
      </w:tr>
      <w:tr>
        <w:trPr/>
        <w:tc>
          <w:tcPr>
            <w:tcW w:w="3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82" w:type="dxa"/>
            <w:tcBorders/>
            <w:vAlign w:val="center"/>
          </w:tcPr>
          <w:p>
            <w:pPr>
              <w:pStyle w:val="TableContents"/>
              <w:bidi w:val="0"/>
              <w:spacing w:before="0" w:after="283"/>
              <w:jc w:val="left"/>
              <w:rPr/>
            </w:pPr>
            <w:r>
              <w:rPr/>
              <w:t> </w:t>
            </w:r>
          </w:p>
        </w:tc>
      </w:tr>
      <w:tr>
        <w:trPr/>
        <w:tc>
          <w:tcPr>
            <w:tcW w:w="3794"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452"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ind w:left="0" w:right="0" w:firstLine="200"/>
              <w:jc w:val="left"/>
              <w:rPr/>
            </w:pPr>
            <w:r>
              <w:rPr/>
              <w:t> </w:t>
            </w:r>
          </w:p>
        </w:tc>
      </w:tr>
      <w:tr>
        <w:trPr/>
        <w:tc>
          <w:tcPr>
            <w:tcW w:w="379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(18,044</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(25,150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(2,593</w:t>
            </w:r>
          </w:p>
        </w:tc>
        <w:tc>
          <w:tcPr>
            <w:tcW w:w="482" w:type="dxa"/>
            <w:tcBorders/>
            <w:shd w:fill="CCEEFF" w:val="clear"/>
            <w:vAlign w:val="center"/>
          </w:tcPr>
          <w:p>
            <w:pPr>
              <w:pStyle w:val="TableContents"/>
              <w:bidi w:val="0"/>
              <w:spacing w:before="0" w:after="283"/>
              <w:jc w:val="left"/>
              <w:rPr/>
            </w:pPr>
            <w:r>
              <w:rPr/>
              <w:t>)</w:t>
            </w:r>
          </w:p>
        </w:tc>
      </w:tr>
      <w:tr>
        <w:trPr/>
        <w:tc>
          <w:tcPr>
            <w:tcW w:w="3794"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482" w:type="dxa"/>
            <w:tcBorders/>
            <w:shd w:fill="FFFFFF" w:val="clear"/>
            <w:vAlign w:val="center"/>
          </w:tcPr>
          <w:p>
            <w:pPr>
              <w:pStyle w:val="TableContents"/>
              <w:bidi w:val="0"/>
              <w:spacing w:before="0" w:after="283"/>
              <w:ind w:left="0" w:right="0" w:firstLine="200"/>
              <w:jc w:val="left"/>
              <w:rPr/>
            </w:pPr>
            <w:r>
              <w:rPr/>
              <w:t> </w:t>
            </w:r>
          </w:p>
        </w:tc>
      </w:tr>
      <w:tr>
        <w:trPr/>
        <w:tc>
          <w:tcPr>
            <w:tcW w:w="3794" w:type="dxa"/>
            <w:tcBorders/>
            <w:shd w:fill="CCEEFF" w:val="clear"/>
            <w:vAlign w:val="center"/>
          </w:tcPr>
          <w:p>
            <w:pPr>
              <w:pStyle w:val="TableContents"/>
              <w:bidi w:val="0"/>
              <w:spacing w:before="0" w:after="283"/>
              <w:jc w:val="left"/>
              <w:rPr/>
            </w:pPr>
            <w:r>
              <w:rPr/>
              <w:t>Weighted-average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110,226,198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47,500,000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double" w:sz="10" w:space="0" w:color="000000"/>
            </w:tcBorders>
            <w:shd w:fill="CCEEFF" w:val="clear"/>
            <w:tcMar>
              <w:bottom w:w="28" w:type="dxa"/>
            </w:tcMar>
            <w:vAlign w:val="center"/>
          </w:tcPr>
          <w:p>
            <w:pPr>
              <w:pStyle w:val="TableContents"/>
              <w:bidi w:val="0"/>
              <w:spacing w:before="0" w:after="283"/>
              <w:jc w:val="right"/>
              <w:rPr/>
            </w:pPr>
            <w:r>
              <w:rPr/>
              <w:t>110,226,198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pPr>
            <w:r>
              <w:rPr/>
              <w:t>47,500,000</w:t>
            </w:r>
          </w:p>
        </w:tc>
        <w:tc>
          <w:tcPr>
            <w:tcW w:w="482" w:type="dxa"/>
            <w:tcBorders/>
            <w:shd w:fill="CCEEFF" w:val="clear"/>
            <w:vAlign w:val="center"/>
          </w:tcPr>
          <w:p>
            <w:pPr>
              <w:pStyle w:val="TableContents"/>
              <w:bidi w:val="0"/>
              <w:spacing w:before="0" w:after="283"/>
              <w:jc w:val="left"/>
              <w:rPr/>
            </w:pPr>
            <w:r>
              <w:rPr/>
              <w:t> </w:t>
            </w:r>
          </w:p>
        </w:tc>
      </w:tr>
      <w:tr>
        <w:trPr/>
        <w:tc>
          <w:tcPr>
            <w:tcW w:w="3794" w:type="dxa"/>
            <w:tcBorders/>
            <w:shd w:fill="FFFFFF" w:val="clear"/>
            <w:vAlign w:val="center"/>
          </w:tcPr>
          <w:p>
            <w:pPr>
              <w:pStyle w:val="TableContents"/>
              <w:bidi w:val="0"/>
              <w:spacing w:before="0" w:after="283"/>
              <w:jc w:val="left"/>
              <w:rPr>
                <w:b/>
              </w:rPr>
            </w:pPr>
            <w:r>
              <w:rPr>
                <w:b/>
              </w:rPr>
              <w:t>Net 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482" w:type="dxa"/>
            <w:tcBorders/>
            <w:shd w:fill="FFFFFF" w:val="clear"/>
            <w:vAlign w:val="center"/>
          </w:tcPr>
          <w:p>
            <w:pPr>
              <w:pStyle w:val="TableContents"/>
              <w:bidi w:val="0"/>
              <w:spacing w:before="0" w:after="283"/>
              <w:ind w:left="0" w:right="0" w:firstLine="400"/>
              <w:jc w:val="left"/>
              <w:rPr/>
            </w:pPr>
            <w:r>
              <w:rPr/>
              <w:t> </w:t>
            </w:r>
          </w:p>
        </w:tc>
      </w:tr>
      <w:tr>
        <w:trPr/>
        <w:tc>
          <w:tcPr>
            <w:tcW w:w="3794"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10"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48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no instruments were dilutive. Potential ordinary shares related to share-settled contingent liabilities, unvested Sponsor shares, and certain equity awards were excluded from diluted EPS as the applicable issuance or vesting conditions were not satisfied as of the reporting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liability-classified PIPE and Bridge Warrants and equity-classified warrants were evaluated under the treasury stock method. For the three and six months ended June 30, 2026, the average market price of the Company’s ordinary shares was below the exercise prices of all outstanding warrants; accordingly, all such instruments were anti-dilutive and therefore excluded from diluted EPS.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anti-dilutive instruments represented approximately 5,475,591 potential ordinary shares as of June 30, 2026. As a result, diluted net loss per share equals basic net loss per share for the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development-stage nuclear energy technology company focused on the research, development, and future commercialization of its SOLO micro-modular nuclear reactor. The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xml:space="preserve">”), consisting of the Company’s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the Company has determined that it operates as a single operating segment, which is also its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Because the Company operates as a single reportable segment, no reconciliation of segment information to consolidated results is required. The Company has not generated revenue from external customers, as its SOLO product remains under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 Company recognized no income tax benefit or expense on a pretax loss of $25,150, resulting in an effective tax rate of 0%. The Company maintained a full valuation allowance against its net deferred tax assets as of June 30, 2026, based on its determination that it is more likely than not that the Company’s net deferred tax assets will not be realized.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August 14, 2026, the date the interim condensed consolidated financial statements were available to be issued, and determined that there have been no events that have occurred that would require adjustments to disclosures in the interim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provides information that Terra Innovatum Global N.V. (the “Company” or “Terra”) management believes is relevant to an assessment and understanding of the Company’s results of operations and financial condition. This discussion should be read together with the Company’s unaudited interim condensed consolidated financial statements as of and for the three and six months ended June 30, 2026 and 2025, and the related notes included elsewhere in this Form 10-Q. All amounts in thousands except share and per share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based upon current expectations that involve risks and uncertainties. The Company’s actual results may differ materially from those anticipated in these forward-looking statements as a result of various factors, including those set forth under “Risk Factors” or in other parts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of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 unless otherwise indicated. In prior periods, including those presented in the Form S-4 Amendment No. 5 filed on September 11, 2025, financial information was presented in whole dollars. This change has been made to enhance the readability and consistency of financial disclosures. As a result, certain prior period amounts may not be directly comparable due to rounding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pioneering nuclear energy technology company developing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a breakthrough solution designed to address critical challenges in affordable, clean, decentralized energy production. Our reactor represents a significant technological and engineering advancement, offering a compact, safe, and economically compelling alternative to traditional energy generation and supply solutions. The SOLO reactor’s core innovation lies in its ability to generate 1 MWe of electricity baseload with a continuous operational cycle of up to 15 years, extendable to 45 years through refueling, with a fixed and competitive projected levelized cost of energy. Our strategic roadmap targets commercial deployment by 2028, with a clear focus on delivering a scalable, modular nuclear solution that can be deployed across diverse markets — from industrial and infrastructure to remote and off-grid applications. Key differentiators include a gas-cooled design, multiple safety shutdown mechanisms, safeguard-by-design, small footprint, and the ability to use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which significantly reduces regulatory and technological barriers typical in nuclear energy development. We have made substantial progress in de-risking our First-of-a-Kind (“</w:t>
      </w:r>
      <w:r>
        <w:rPr>
          <w:rFonts w:ascii="Times New Roman;Times;Serif" w:hAnsi="Times New Roman;Times;Serif"/>
          <w:b/>
          <w:i w:val="false"/>
          <w:caps w:val="false"/>
          <w:smallCaps w:val="false"/>
          <w:sz w:val="20"/>
        </w:rPr>
        <w:t>FOAK</w:t>
      </w:r>
      <w:r>
        <w:rPr>
          <w:rFonts w:ascii="Times New Roman;Times;Serif" w:hAnsi="Times New Roman;Times;Serif"/>
          <w:b w:val="false"/>
          <w:i w:val="false"/>
          <w:caps w:val="false"/>
          <w:smallCaps w:val="false"/>
          <w:sz w:val="20"/>
        </w:rPr>
        <w:t>”) reactor, including initiating regulatory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establishing a robust supply chain strategy. We have completed the reactor design sufficiently to support component fabrication and NRC licensing, validated key technological components, and are targeting licensing and deployment of the FOAK reactor by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we entered into a lease for office space in Lucca, Italy, with a noncancelable term commencing April 1, 2026 and expiring March 31, 2032. The lease provides for annual base rent of approximately $88 (€75), which is adjusted annually in accordance with the variation in the Italian consumer price index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as required under Italian commercial lease law. These index-based rent adjustments are variable lease payments and are recognized as expense in the period incurred; they are not included in the measurement of our lease liability or right-of-use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we reported a net loss of $18,044 and $1,145,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reported a net loss of $25,150 and $2,593, respectively. Net cash used in operating activities was $8,778 for the six months ended June 30, 2026 compared to net cash used of $1,371 for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and Trends Affecting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factors and trends may cause previously reported financial information not to be necessarily indicative of future operating results or future financial conditions: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Product Development Plan. </w:t>
      </w:r>
      <w:r>
        <w:rPr>
          <w:rFonts w:ascii="Times New Roman;Times;Serif" w:hAnsi="Times New Roman;Times;Serif"/>
          <w:b w:val="false"/>
          <w:i w:val="false"/>
          <w:caps w:val="false"/>
          <w:smallCaps w:val="false"/>
          <w:sz w:val="20"/>
        </w:rPr>
        <w:t>The commercial rollout of advanced nuclear reactors depends on securing regulatory approvals for its design, construction, and operation. Our regulatory engagement plan was submitted to the NRC, and the NRC is currently reviewing a number of safety related topics related to SOLO. Although our team has significant prior experience working with the NRC, we cannot control NRC’s review process and review periods may take longer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Funding and Investment</w:t>
      </w:r>
      <w:r>
        <w:rPr>
          <w:rFonts w:ascii="Times New Roman;Times;Serif" w:hAnsi="Times New Roman;Times;Serif"/>
          <w:b w:val="false"/>
          <w:i w:val="false"/>
          <w:caps w:val="false"/>
          <w:smallCaps w:val="false"/>
          <w:sz w:val="20"/>
        </w:rPr>
        <w:t>. We have limited financial resources. There can be no assurance that sufficient funding will be available to us to fund our operating expenses and to further develop our business. We anticipate that we will likely need to raise additional capital to fund our operations while we implement and execute our business plan. Our continued solvency is dependent upon our ability to obtain additional working capital to complete our reactor development, to successfully market our reactors and to achieve commerciality for our reactors. We have encountered and expect to continue to encounter risks and uncertainties frequently experienced by companies in rapidly evolving industries.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Macroeconomic Conditions and Global Market Dynamics</w:t>
      </w:r>
      <w:r>
        <w:rPr>
          <w:rFonts w:ascii="Times New Roman;Times;Serif" w:hAnsi="Times New Roman;Times;Serif"/>
          <w:b w:val="false"/>
          <w:i w:val="false"/>
          <w:caps w:val="false"/>
          <w:smallCaps w:val="false"/>
          <w:sz w:val="20"/>
        </w:rPr>
        <w:t>. Our business operates in a complex global environment with multiple interconnected economic factors that can significantly impact our technological development, regulatory trajectory, and potential market penetration. As a nuclear technology company with an international human capital strategy and multinational supply chain, we are sensitive to macroeconomic trends and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Global Supply Chain Dynamics.</w:t>
      </w:r>
      <w:r>
        <w:rPr>
          <w:rFonts w:ascii="Times New Roman;Times;Serif" w:hAnsi="Times New Roman;Times;Serif"/>
          <w:b w:val="false"/>
          <w:i w:val="false"/>
          <w:caps w:val="false"/>
          <w:smallCaps w:val="false"/>
          <w:sz w:val="20"/>
        </w:rPr>
        <w:t xml:space="preserve"> We utilize a strategic outsourced manufacturing approach for the SOLO project, leveraging international human resources and implementing an international manufacturing model for our FOAK reactor. This strategy exposes us to global supply chain vulnerabilities, including potential impacts from geopolitical tensions, trade agreements, tariffs, and manufacturing disruptions.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partnering with specialized suppliers certified in nuclear engineering and precision manufacturing, we aim to avoid significant capital investments in manufacturing facilities and concentrate our resources on core competencies such as reactor design, technological innovation, and regulatory compliance. Our procurement strategy involves direct engagement with multiple suppliers for critical components, ensuring supply chain reliability and maintaining the flexibility to adapt our technology to evolving market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Inflation and Cost Pressures.</w:t>
      </w:r>
      <w:r>
        <w:rPr>
          <w:rFonts w:ascii="Times New Roman;Times;Serif" w:hAnsi="Times New Roman;Times;Serif"/>
          <w:b w:val="false"/>
          <w:i w:val="false"/>
          <w:caps w:val="false"/>
          <w:smallCaps w:val="false"/>
          <w:sz w:val="20"/>
        </w:rPr>
        <w:t xml:space="preserve"> Inflationary trends represent a risk to our development trajectory. Escalating costs in specialized manufacturing, regulatory compliance, technical talent acquisition, and raw material procurement could potentially erode our projected economic advantages.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Energy Market Evolution.</w:t>
      </w:r>
      <w:r>
        <w:rPr>
          <w:rFonts w:ascii="Times New Roman;Times;Serif" w:hAnsi="Times New Roman;Times;Serif"/>
          <w:b w:val="false"/>
          <w:i w:val="false"/>
          <w:caps w:val="false"/>
          <w:smallCaps w:val="false"/>
          <w:sz w:val="20"/>
        </w:rPr>
        <w:t xml:space="preserve"> The global energy transition, driven by decarbonization efforts and increasing demand for reliable low-carbon baseload power, creates both opportunities and challenges. The explosive growth in data center energy requirements, particularly with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and computational infrastructure expansion, presents a promising market segment. However, economic growth cycles, shifts in energy policy, and potential slowdowns in technological adoption could materially affect our market positioning and revenue projections.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the AI-driven market concentration risks, we have strategically designed SOLO with multi-sector versatility, targeting a diverse range of energy-intensive industries including industrial manufacturing (cement, steel, mining, paper production), critical infrastructure services (airports, ports, logistics hubs), agricultural and food processing applications (greenhouses, vertical farming, food processing plants), energy storage (ammonia production, pink hydrogen) and essential utility services like desalination and water treatment. This intentional market diversification allows us to create resilience against sector-specific economic fluctuations, leveraging SOLO’s ability to provide both electricity and thermal energy across multiple high-demand sectors, including emerging opportunities in medical radioisotope production.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Regulatory and Geopolitical Landscape.</w:t>
      </w:r>
      <w:r>
        <w:rPr>
          <w:rFonts w:ascii="Times New Roman;Times;Serif" w:hAnsi="Times New Roman;Times;Serif"/>
          <w:b w:val="false"/>
          <w:i w:val="false"/>
          <w:caps w:val="false"/>
          <w:smallCaps w:val="false"/>
          <w:sz w:val="20"/>
        </w:rPr>
        <w:t xml:space="preserve"> Our multinational operational model requires navigating complex regulatory environments across different jurisdictions. Changes in nuclear energy policies and geopolitical tensions could significantly impact our potential market access. The evolving global stance on nuclear energy, particularly small modular reactors, introduces both strategic opportunities and potential regulatory constraints.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Technological and Labor Market Dynamics.</w:t>
      </w:r>
      <w:r>
        <w:rPr>
          <w:rFonts w:ascii="Times New Roman;Times;Serif" w:hAnsi="Times New Roman;Times;Serif"/>
          <w:b w:val="false"/>
          <w:i w:val="false"/>
          <w:caps w:val="false"/>
          <w:smallCaps w:val="false"/>
          <w:sz w:val="20"/>
        </w:rPr>
        <w:t xml:space="preserve"> The specialized nature of our technology demands access to a global pool of highly skilled technical talent. Potential labor market shifts, competition for specialized nuclear engineering expertise, and varying international education and training standards could influence our human resource strategy and technology development velocity.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Economic Uncertainty Factors.</w:t>
      </w:r>
      <w:r>
        <w:rPr>
          <w:rFonts w:ascii="Times New Roman;Times;Serif" w:hAnsi="Times New Roman;Times;Serif"/>
          <w:b w:val="false"/>
          <w:i w:val="false"/>
          <w:caps w:val="false"/>
          <w:smallCaps w:val="false"/>
          <w:sz w:val="20"/>
        </w:rPr>
        <w:t xml:space="preserve"> Macroeconomic uncertainties, including potential recessionary periods, fluctuations in investment trends in energy related technology, and broader economic growth patterns, could affect our funding capabilities, customer acquisition strategies, and overall business development trajectory.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Until we are no longer considered to be an emerging growth company, we have elected not to opt out of such extended transition period which means that when an accounting standard is issued or revised and it has different application dates for public or private companies, as an emerging growth company we can adopt the new or revised standard at the time private companies adopt the new or revised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ordinary shares held by non-affiliates is $250,000 or more measured on the last business day of our second fiscal quarter, or our annual revenues are less than $100,000 during the most recently completed fiscal year and our voting and non-voting ordinary shares held by non-affiliates is $700,000 or more measured on the last business day of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development-stage nuclear energy technology company focused on the research, development, and future commercialization of our SOLO micro-modular nuclear reactor. Our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consisting of our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we have determined that we operate as a single operating segment, which is also our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We have not generated revenue from external customers, as our SOLO product remains under development.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period-to-period comparisons of our results of operations have been prepared using the historical periods included in our financial statements. The following discussion should be read in conjunction with the financial statements and related notes included elsewhere in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product sales and do not expect to generate any revenue from the sale of products for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consist primarily of advisory fees, legal fees, audit, accounting, professional services fees, insurance, Board of Director compensation, software costs, transportation, food and lodging, conference and seminar registration fees, advertising, rental, filing fees, employee benefits, consultancy fees, representation expenses, commissions,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represent costs incurred to design and engineer SOLO. These costs include technical consulting and personnel-related expenses (such as salaries, employee benefits, and bonuses), software and computing costs, hardware and experimental supplies, and fees for outside engineering, analytical,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(expenses) primarily consists of foreign currency transaction gains and losses, as well as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we issued 8,000 convertible preferred shares (of which 4,000 converted in 2025, with 4,000 remaining unvested) to former Terra Innovatum Global Srl. quotaholders that are mandatorily convertible into our ordinary shares upon the achievement of specified market-based and regulatory milestones (the "</w:t>
      </w:r>
      <w:r>
        <w:rPr>
          <w:rFonts w:ascii="Times New Roman;Times;Serif" w:hAnsi="Times New Roman;Times;Serif"/>
          <w:b/>
          <w:i w:val="false"/>
          <w:caps w:val="false"/>
          <w:smallCaps w:val="false"/>
          <w:sz w:val="20"/>
        </w:rPr>
        <w:t>Convertible Preferred Shares</w:t>
      </w:r>
      <w:r>
        <w:rPr>
          <w:rFonts w:ascii="Times New Roman;Times;Serif" w:hAnsi="Times New Roman;Times;Serif"/>
          <w:b w:val="false"/>
          <w:i w:val="false"/>
          <w:caps w:val="false"/>
          <w:smallCaps w:val="false"/>
          <w:sz w:val="20"/>
        </w:rPr>
        <w:t>"). Together with Sponsor ordinary shares subject to similar vesting conditions, the Convertible Preferred Shares will be settled through the issuance of a variable number of our ordinary shares (together, the "</w:t>
      </w:r>
      <w:r>
        <w:rPr>
          <w:rFonts w:ascii="Times New Roman;Times;Serif" w:hAnsi="Times New Roman;Times;Serif"/>
          <w:b/>
          <w:i w:val="false"/>
          <w:caps w:val="false"/>
          <w:smallCaps w:val="false"/>
          <w:sz w:val="20"/>
        </w:rPr>
        <w:t>Share-Settled Contingent Liability</w:t>
      </w:r>
      <w:r>
        <w:rPr>
          <w:rFonts w:ascii="Times New Roman;Times;Serif" w:hAnsi="Times New Roman;Times;Serif"/>
          <w:b w:val="false"/>
          <w:i w:val="false"/>
          <w:caps w:val="false"/>
          <w:smallCaps w:val="false"/>
          <w:sz w:val="20"/>
        </w:rPr>
        <w:t>"). Because these instruments settle in a variable number of shares and are not indexed solely to our stock price, they do not qualify for equity classification under ASC 815-40 and ASC 480-10 and are instead recorded as a liability. We remeasure the Share-Settled Contingent Liability to fair value at each reporting date using a Monte Carlo simulation model until the underlying milestones are achieved or expire, with changes recognized in our interim condensed consolidated statements of operations. Because this valuation is highly sensitive to our share price, expected volatility, and the probability-weighted timing of milestone achievement, period-to-period changes can be large relative to our other results of operations and are non-cash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 warrant liabilities consists of the change in fair value of certain PIPE and Bridge Loan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(or benefit) for income taxes consists of the expense or income related to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Three Months Ended June 30, 2026 Compared to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for the periods indicated and the changes between periods: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60"/>
        <w:gridCol w:w="216"/>
        <w:gridCol w:w="1169"/>
        <w:gridCol w:w="146"/>
        <w:gridCol w:w="92"/>
        <w:gridCol w:w="216"/>
        <w:gridCol w:w="984"/>
        <w:gridCol w:w="95"/>
        <w:gridCol w:w="60"/>
        <w:gridCol w:w="176"/>
        <w:gridCol w:w="954"/>
        <w:gridCol w:w="95"/>
        <w:gridCol w:w="60"/>
        <w:gridCol w:w="107"/>
        <w:gridCol w:w="1143"/>
        <w:gridCol w:w="337"/>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337"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337"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4,598</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2,104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2,494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119</w:t>
            </w:r>
          </w:p>
        </w:tc>
        <w:tc>
          <w:tcPr>
            <w:tcW w:w="337"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1,481</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1,425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2,545</w:t>
            </w:r>
          </w:p>
        </w:tc>
        <w:tc>
          <w:tcPr>
            <w:tcW w:w="337"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6,079</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181</w:t>
            </w:r>
          </w:p>
        </w:tc>
        <w:tc>
          <w:tcPr>
            <w:tcW w:w="337" w:type="dxa"/>
            <w:tcBorders/>
            <w:shd w:fill="CCEEFF" w:val="clear"/>
            <w:vAlign w:val="center"/>
          </w:tcPr>
          <w:p>
            <w:pPr>
              <w:pStyle w:val="TableContents"/>
              <w:bidi w:val="0"/>
              <w:spacing w:before="0" w:after="283"/>
              <w:jc w:val="left"/>
              <w:rPr>
                <w:b/>
              </w:rPr>
            </w:pPr>
            <w:r>
              <w:rPr>
                <w:b/>
              </w:rPr>
              <w:t>%</w:t>
            </w:r>
          </w:p>
        </w:tc>
      </w:tr>
      <w:tr>
        <w:trPr/>
        <w:tc>
          <w:tcPr>
            <w:tcW w:w="4295"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(6,079</w:t>
            </w:r>
          </w:p>
        </w:tc>
        <w:tc>
          <w:tcPr>
            <w:tcW w:w="146" w:type="dxa"/>
            <w:tcBorders/>
            <w:shd w:fill="FFFFFF" w:val="clear"/>
            <w:vAlign w:val="center"/>
          </w:tcPr>
          <w:p>
            <w:pPr>
              <w:pStyle w:val="TableContents"/>
              <w:bidi w:val="0"/>
              <w:spacing w:before="0" w:after="283"/>
              <w:jc w:val="left"/>
              <w:rPr>
                <w:b/>
              </w:rPr>
            </w:pPr>
            <w:r>
              <w:rPr>
                <w:b/>
              </w:rPr>
              <w:t>)</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181</w:t>
            </w:r>
          </w:p>
        </w:tc>
        <w:tc>
          <w:tcPr>
            <w:tcW w:w="337" w:type="dxa"/>
            <w:tcBorders/>
            <w:shd w:fill="FFFFFF" w:val="clear"/>
            <w:vAlign w:val="center"/>
          </w:tcPr>
          <w:p>
            <w:pPr>
              <w:pStyle w:val="TableContents"/>
              <w:bidi w:val="0"/>
              <w:spacing w:before="0" w:after="283"/>
              <w:jc w:val="left"/>
              <w:rPr>
                <w:b/>
              </w:rPr>
            </w:pPr>
            <w:r>
              <w:rPr>
                <w:b/>
              </w:rPr>
              <w:t>%</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337"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1,190</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(586</w:t>
            </w:r>
          </w:p>
        </w:tc>
        <w:tc>
          <w:tcPr>
            <w:tcW w:w="337"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(12,492</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(12,492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NM</w:t>
            </w:r>
          </w:p>
        </w:tc>
        <w:tc>
          <w:tcPr>
            <w:tcW w:w="337"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(153</w:t>
            </w:r>
          </w:p>
        </w:tc>
        <w:tc>
          <w:tcPr>
            <w:tcW w:w="337"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b/>
              </w:rPr>
            </w:pPr>
            <w:r>
              <w:rPr>
                <w:b/>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(11,965</w:t>
            </w:r>
          </w:p>
        </w:tc>
        <w:tc>
          <w:tcPr>
            <w:tcW w:w="146" w:type="dxa"/>
            <w:tcBorders/>
            <w:shd w:fill="FFFFFF" w:val="clear"/>
            <w:vAlign w:val="center"/>
          </w:tcPr>
          <w:p>
            <w:pPr>
              <w:pStyle w:val="TableContents"/>
              <w:bidi w:val="0"/>
              <w:spacing w:before="0" w:after="283"/>
              <w:jc w:val="left"/>
              <w:rPr>
                <w:b/>
              </w:rPr>
            </w:pPr>
            <w:r>
              <w:rPr>
                <w:b/>
              </w:rPr>
              <w:t>)</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(12,980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(1,279</w:t>
            </w:r>
          </w:p>
        </w:tc>
        <w:tc>
          <w:tcPr>
            <w:tcW w:w="337" w:type="dxa"/>
            <w:tcBorders/>
            <w:shd w:fill="FFFFFF" w:val="clear"/>
            <w:vAlign w:val="center"/>
          </w:tcPr>
          <w:p>
            <w:pPr>
              <w:pStyle w:val="TableContents"/>
              <w:bidi w:val="0"/>
              <w:spacing w:before="0" w:after="283"/>
              <w:jc w:val="left"/>
              <w:rPr>
                <w:b/>
              </w:rPr>
            </w:pPr>
            <w:r>
              <w:rPr>
                <w:b/>
              </w:rPr>
              <w:t>)%</w:t>
            </w:r>
          </w:p>
        </w:tc>
      </w:tr>
      <w:tr>
        <w:trPr/>
        <w:tc>
          <w:tcPr>
            <w:tcW w:w="429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(18,044</w:t>
            </w:r>
          </w:p>
        </w:tc>
        <w:tc>
          <w:tcPr>
            <w:tcW w:w="146"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(16,899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(1,476</w:t>
            </w:r>
          </w:p>
        </w:tc>
        <w:tc>
          <w:tcPr>
            <w:tcW w:w="337" w:type="dxa"/>
            <w:tcBorders/>
            <w:shd w:fill="CCEEFF" w:val="clear"/>
            <w:vAlign w:val="center"/>
          </w:tcPr>
          <w:p>
            <w:pPr>
              <w:pStyle w:val="TableContents"/>
              <w:bidi w:val="0"/>
              <w:spacing w:before="0" w:after="283"/>
              <w:jc w:val="left"/>
              <w:rPr>
                <w:b/>
              </w:rPr>
            </w:pPr>
            <w:r>
              <w:rPr>
                <w:b/>
              </w:rPr>
              <w:t>)%</w:t>
            </w:r>
          </w:p>
        </w:tc>
      </w:tr>
      <w:tr>
        <w:trPr/>
        <w:tc>
          <w:tcPr>
            <w:tcW w:w="429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337"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(18,044</w:t>
            </w:r>
          </w:p>
        </w:tc>
        <w:tc>
          <w:tcPr>
            <w:tcW w:w="146"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(1,476</w:t>
            </w:r>
          </w:p>
        </w:tc>
        <w:tc>
          <w:tcPr>
            <w:tcW w:w="33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$2,494 for the three months ended June 30, 2026 compared to the same period in 2025 primarily due to increases of (i) $1,707 for consulting/advisory fees paid to non-employee service providers, (ii) $652 for insurance, (iii) $436 for Board of Director compensation, (iv) $85 for transportation, (v) $23 for rental, (vi) $22 for office rent, and (vii) $21 for filing fees. These increases were offset by decreases of (i) $323 for professional fees, (ii) $89 for software expenses, (iii) $20 in contractor costs, (iv) $20 in certificates and procedures, and (v) $17 in consultancy. The remaining $17 net increase is primarily driven by food and lodging, computer equipment depreciation, conference and seminary registration fees, book subscriptions,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additional general and administrative expenses as a result of operating as a public company, including expenses related to compliance with the rules and regulations of the SEC and Nasdaq Stock Market, additional insurance costs, investor relations activities and other administrative and professional services. As a result, we expect general and administrative expenses to increase in absolute dollars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increased by $1,425 for the three months ended June 30, 2026 compared to the same period in 2025 primarily due to increases of (i) $1,033 in technical consultancy fees, (ii) $179 in other payroll and benefits, (iii) $157 in salaries and wages, and (iv) $79 in employee income tax withholding. The remaining $23 net decrease is primarily driven by transportation and travel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$1,190 for the three months ended June 30, 2026, which primarily consists of $646 of net foreign currency gains and $544 of 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was $245 for the three months ended June 30, 2025, which primarily consists of $189 of interest expense and $56 of net foreign currency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$12,492 unrealized loss in fair value attributable to the change in fair value of the share settled contingent liability for the three months ended June 30, 2026. There was no share settled contingent liability during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$663 unrealized loss in fair value attributable to warrant liabilities for the three months ended June 30, 2026 consists of the change in fair value of certain PIPE and Bridge Loan warrants. There was $1,260 unrealized gain in fair value attributable to certain Bridge Loan warrant liabilities during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was $0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June 30, 2026 was $18,044 compared to $1,145 for the three months ended June 30, 2025. The $16,899 net change was primarily due to the $12,492 change in fair value of the shared settled contingent liability, $3,919 increase in operating expenses and $1,923 change in fair value of warrant liabilities. These increases were partially offset by increases of $1,435 in other income (expenses),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Six Months Ended June 30, 2026 Compared to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for the periods indicated and the changes between periods: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8"/>
        <w:gridCol w:w="60"/>
        <w:gridCol w:w="202"/>
        <w:gridCol w:w="1092"/>
        <w:gridCol w:w="137"/>
        <w:gridCol w:w="86"/>
        <w:gridCol w:w="202"/>
        <w:gridCol w:w="918"/>
        <w:gridCol w:w="95"/>
        <w:gridCol w:w="60"/>
        <w:gridCol w:w="176"/>
        <w:gridCol w:w="954"/>
        <w:gridCol w:w="95"/>
        <w:gridCol w:w="60"/>
        <w:gridCol w:w="107"/>
        <w:gridCol w:w="1143"/>
        <w:gridCol w:w="340"/>
      </w:tblGrid>
      <w:tr>
        <w:trPr/>
        <w:tc>
          <w:tcPr>
            <w:tcW w:w="4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340" w:type="dxa"/>
            <w:tcBorders/>
            <w:vAlign w:val="center"/>
          </w:tcPr>
          <w:p>
            <w:pPr>
              <w:pStyle w:val="TableContents"/>
              <w:bidi w:val="0"/>
              <w:spacing w:before="0" w:after="283"/>
              <w:jc w:val="left"/>
              <w:rPr/>
            </w:pPr>
            <w:r>
              <w:rPr/>
              <w:t> </w:t>
            </w:r>
          </w:p>
        </w:tc>
      </w:tr>
      <w:tr>
        <w:trPr/>
        <w:tc>
          <w:tcPr>
            <w:tcW w:w="4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340" w:type="dxa"/>
            <w:tcBorders/>
            <w:vAlign w:val="center"/>
          </w:tcPr>
          <w:p>
            <w:pPr>
              <w:pStyle w:val="TableContents"/>
              <w:bidi w:val="0"/>
              <w:spacing w:before="0" w:after="283"/>
              <w:jc w:val="left"/>
              <w:rPr/>
            </w:pPr>
            <w:r>
              <w:rPr/>
              <w:t> </w:t>
            </w:r>
          </w:p>
        </w:tc>
      </w:tr>
      <w:tr>
        <w:trPr/>
        <w:tc>
          <w:tcPr>
            <w:tcW w:w="4478"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r>
      <w:tr>
        <w:trPr/>
        <w:tc>
          <w:tcPr>
            <w:tcW w:w="447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9,994</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3,520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6,474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184</w:t>
            </w:r>
          </w:p>
        </w:tc>
        <w:tc>
          <w:tcPr>
            <w:tcW w:w="340"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2,719</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2,630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2,955</w:t>
            </w:r>
          </w:p>
        </w:tc>
        <w:tc>
          <w:tcPr>
            <w:tcW w:w="340" w:type="dxa"/>
            <w:tcBorders/>
            <w:shd w:fill="FFFFFF" w:val="clear"/>
            <w:vAlign w:val="center"/>
          </w:tcPr>
          <w:p>
            <w:pPr>
              <w:pStyle w:val="TableContents"/>
              <w:bidi w:val="0"/>
              <w:spacing w:before="0" w:after="283"/>
              <w:jc w:val="left"/>
              <w:rPr/>
            </w:pPr>
            <w:r>
              <w:rPr/>
              <w:t>%</w:t>
            </w:r>
          </w:p>
        </w:tc>
      </w:tr>
      <w:tr>
        <w:trPr/>
        <w:tc>
          <w:tcPr>
            <w:tcW w:w="4478"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12,713</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w:t>
            </w:r>
          </w:p>
        </w:tc>
        <w:tc>
          <w:tcPr>
            <w:tcW w:w="340" w:type="dxa"/>
            <w:tcBorders/>
            <w:shd w:fill="CCEEFF" w:val="clear"/>
            <w:vAlign w:val="center"/>
          </w:tcPr>
          <w:p>
            <w:pPr>
              <w:pStyle w:val="TableContents"/>
              <w:bidi w:val="0"/>
              <w:spacing w:before="0" w:after="283"/>
              <w:jc w:val="left"/>
              <w:rPr>
                <w:b/>
              </w:rPr>
            </w:pPr>
            <w:r>
              <w:rPr>
                <w:b/>
              </w:rPr>
              <w:t>%</w:t>
            </w:r>
          </w:p>
        </w:tc>
      </w:tr>
      <w:tr>
        <w:trPr/>
        <w:tc>
          <w:tcPr>
            <w:tcW w:w="4478"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(12,713</w:t>
            </w:r>
          </w:p>
        </w:tc>
        <w:tc>
          <w:tcPr>
            <w:tcW w:w="137"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252</w:t>
            </w:r>
          </w:p>
        </w:tc>
        <w:tc>
          <w:tcPr>
            <w:tcW w:w="340" w:type="dxa"/>
            <w:tcBorders/>
            <w:shd w:fill="FFFFFF" w:val="clear"/>
            <w:vAlign w:val="center"/>
          </w:tcPr>
          <w:p>
            <w:pPr>
              <w:pStyle w:val="TableContents"/>
              <w:bidi w:val="0"/>
              <w:spacing w:before="0" w:after="283"/>
              <w:jc w:val="left"/>
              <w:rPr>
                <w:b/>
              </w:rPr>
            </w:pPr>
            <w:r>
              <w:rPr>
                <w:b/>
              </w:rPr>
              <w:t>%</w:t>
            </w:r>
          </w:p>
        </w:tc>
      </w:tr>
      <w:tr>
        <w:trPr/>
        <w:tc>
          <w:tcPr>
            <w:tcW w:w="4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r>
      <w:tr>
        <w:trPr/>
        <w:tc>
          <w:tcPr>
            <w:tcW w:w="4478"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r>
      <w:tr>
        <w:trPr/>
        <w:tc>
          <w:tcPr>
            <w:tcW w:w="4478"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3,970</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(1,727</w:t>
            </w:r>
          </w:p>
        </w:tc>
        <w:tc>
          <w:tcPr>
            <w:tcW w:w="340"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(15,827</w:t>
            </w:r>
          </w:p>
        </w:tc>
        <w:tc>
          <w:tcPr>
            <w:tcW w:w="137"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(15,827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NM</w:t>
            </w:r>
          </w:p>
        </w:tc>
        <w:tc>
          <w:tcPr>
            <w:tcW w:w="340" w:type="dxa"/>
            <w:tcBorders/>
            <w:shd w:fill="FFFFFF" w:val="clear"/>
            <w:vAlign w:val="center"/>
          </w:tcPr>
          <w:p>
            <w:pPr>
              <w:pStyle w:val="TableContents"/>
              <w:bidi w:val="0"/>
              <w:spacing w:before="0" w:after="283"/>
              <w:jc w:val="left"/>
              <w:rPr/>
            </w:pPr>
            <w:r>
              <w:rPr/>
              <w:t> </w:t>
            </w:r>
          </w:p>
        </w:tc>
      </w:tr>
      <w:tr>
        <w:trPr/>
        <w:tc>
          <w:tcPr>
            <w:tcW w:w="4478"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pPr>
            <w:r>
              <w:rPr/>
              <w:t>(580</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(146</w:t>
            </w:r>
          </w:p>
        </w:tc>
        <w:tc>
          <w:tcPr>
            <w:tcW w:w="340"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b/>
              </w:rPr>
            </w:pPr>
            <w:r>
              <w:rPr>
                <w:b/>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(12,437</w:t>
            </w:r>
          </w:p>
        </w:tc>
        <w:tc>
          <w:tcPr>
            <w:tcW w:w="137"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(13,453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(1,324</w:t>
            </w:r>
          </w:p>
        </w:tc>
        <w:tc>
          <w:tcPr>
            <w:tcW w:w="340" w:type="dxa"/>
            <w:tcBorders/>
            <w:shd w:fill="FFFFFF" w:val="clear"/>
            <w:vAlign w:val="center"/>
          </w:tcPr>
          <w:p>
            <w:pPr>
              <w:pStyle w:val="TableContents"/>
              <w:bidi w:val="0"/>
              <w:spacing w:before="0" w:after="283"/>
              <w:jc w:val="left"/>
              <w:rPr>
                <w:b/>
              </w:rPr>
            </w:pPr>
            <w:r>
              <w:rPr>
                <w:b/>
              </w:rPr>
              <w:t>)%</w:t>
            </w:r>
          </w:p>
        </w:tc>
      </w:tr>
      <w:tr>
        <w:trPr/>
        <w:tc>
          <w:tcPr>
            <w:tcW w:w="4478"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(25,150</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(870</w:t>
            </w:r>
          </w:p>
        </w:tc>
        <w:tc>
          <w:tcPr>
            <w:tcW w:w="340" w:type="dxa"/>
            <w:tcBorders/>
            <w:shd w:fill="CCEEFF" w:val="clear"/>
            <w:vAlign w:val="center"/>
          </w:tcPr>
          <w:p>
            <w:pPr>
              <w:pStyle w:val="TableContents"/>
              <w:bidi w:val="0"/>
              <w:spacing w:before="0" w:after="283"/>
              <w:jc w:val="left"/>
              <w:rPr>
                <w:b/>
              </w:rPr>
            </w:pPr>
            <w:r>
              <w:rPr>
                <w:b/>
              </w:rPr>
              <w:t>)%</w:t>
            </w:r>
          </w:p>
        </w:tc>
      </w:tr>
      <w:tr>
        <w:trPr/>
        <w:tc>
          <w:tcPr>
            <w:tcW w:w="4478"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340" w:type="dxa"/>
            <w:tcBorders/>
            <w:shd w:fill="FFFFFF" w:val="clear"/>
            <w:vAlign w:val="center"/>
          </w:tcPr>
          <w:p>
            <w:pPr>
              <w:pStyle w:val="TableContents"/>
              <w:bidi w:val="0"/>
              <w:spacing w:before="0" w:after="283"/>
              <w:jc w:val="left"/>
              <w:rPr/>
            </w:pPr>
            <w:r>
              <w:rPr/>
              <w:t>%</w:t>
            </w:r>
          </w:p>
        </w:tc>
      </w:tr>
      <w:tr>
        <w:trPr/>
        <w:tc>
          <w:tcPr>
            <w:tcW w:w="447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(25,150</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(870</w:t>
            </w:r>
          </w:p>
        </w:tc>
        <w:tc>
          <w:tcPr>
            <w:tcW w:w="34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$6,474 for the six months ended June 30, 2026 compared to the same period in 2025 primarily due to increases of (i) $4,066 for consulting/advisory fees paid to non-employee service providers, (ii) $1,296 for insurance, (iii) $894 for Board of Director compensation, (iv) $210 for transportation, (v) $142 for software costs, (vi) $63 for food and lodging, (vii) $57 for conference and seminar registration fees, (viii) $47 for rental, and (ix) $43 for filing fees. These increases were offset by decreases of (i) $292 for professional fees, (ii) $86 for software expenses, (iii) $33 for contract fees, and (iv) $27 for consultancy. The remaining $94 net change is primarily driven by office rent, advertising, certificates and procedures, computer equipment depreciation, representation expenses,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additional general and administrative expenses as a result of operating as a public company, including expenses related to compliance with the rules and regulations of the SEC and Nasdaq Stock Market, additional insurance costs, investor relations activities and other administrative and professional services. As a result, we expect general and administrative expenses to increase in absolute dollars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increased by $2,630 for the six months ended June 30, 2026 compared to the same period in 2025 primarily due to increases of (i) $2,092 in technical consultancy fees, (ii) $231 in other payroll and benefits, (iii) $224 in salaries and wages, and (iv) $103 in employee income tax withholding. The remaining $20 net decrease is primarily driven by transportation and travel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$3,970 for the six months ended June 30, 2026, which primarily consists of $2,815 of net foreign currency gains and $1,155 of 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was $244 for the six months ended June 30, 2025, which primarily consists of $189 of interest expense and $55 of net foreign currency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$15,827 unrealized loss in fair value attributable to the change in fair value of the share settled contingent liability for the six months ended June 30, 2026. There was no share settled contingent liability during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$580 unrealized loss in fair value attributable to warrant liabilities for the six months ended June 30, 2026 consists of the change in fair value of certain PIPE and Bridge Loan warrants. There was $1,260 unrealized gain in fair value attributable to certain Bridge Loan warrant liabilities during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was $0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six months ended June 30, 2026 was $25,150 compared to $2,593 for the six months ended June 30, 2025. The $22,557 net change was primarily due to the $15,827 change in fair value of the share settled contingent liability, $9,104 increase in operating expenses, and $1,840 change in fair value of warrant liabilities. These increases were partially offset by an increase of $4,214 in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represents our ability to generate sufficient cash to support ongoing operations, meet obligations, and fund future growth. Since inception, we have financed our activities primarily through capital contributions, as we have not yet generated revenue from our core operations. We do not expect to generate meaningful revenue unless and until we complete development, obtain regulatory licenses, and enter the commercialization phase of the SOLO, which we do not anticipate before 2028. Accordingly, we are dependent on our existing cash resources to fund operations while we advance toward commercialization. In the short term, our liquidity is supported by the proceeds received upon closing the Business Combination on October 9, 2025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which, together with the related PIPE financing, generated net proceeds of approximately $106,713. At Closing, all outstanding Bridge Loans converted into 851,483 ordinary shares at a price of $7.00 per share, eliminating near-term debt service commitments. We expect to outsource manufacturing activities, which reduces near-term capital expenditure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of $91,055 and an accumulated deficit of approximately $632,426. Net cash used in operating activities was $8,778 for the six months ended June 30, 2026. We have historically incurred recurring operating losses and generated negative cash flows from operations as we are a pre-revenue company developing technology and looking towards commercialization in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and pursue potential liquidity-enhancing actions, which may include equity or debt financing, strategic transactions, or other funding arrangements; however, no definitive agreements are currently in place. Until sufficient funding is obtained or obligations are otherwise satisfied, we may be required to limit discretionary spending and defer or scale back certain planned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on hand, and our primary uses of liquidity are operating expenses and licensing activities. We continue to actively monitor our liquidity position and may seek additional financing, including future equity offerings, strategic arrangements, or other capital-raising transactions, to support our long-term development and commercialization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detailed information about our net cash flows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7092" w:type="dxa"/>
        <w:jc w:val="left"/>
        <w:tblInd w:w="0" w:type="dxa"/>
        <w:tblLayout w:type="fixed"/>
        <w:tblCellMar>
          <w:top w:w="0" w:type="dxa"/>
          <w:left w:w="0" w:type="dxa"/>
          <w:bottom w:w="0" w:type="dxa"/>
          <w:right w:w="0" w:type="dxa"/>
        </w:tblCellMar>
      </w:tblPr>
      <w:tblGrid>
        <w:gridCol w:w="3200"/>
        <w:gridCol w:w="60"/>
        <w:gridCol w:w="304"/>
        <w:gridCol w:w="1386"/>
        <w:gridCol w:w="207"/>
        <w:gridCol w:w="130"/>
        <w:gridCol w:w="304"/>
        <w:gridCol w:w="1391"/>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b/>
              </w:rPr>
            </w:pPr>
            <w:r>
              <w:rPr>
                <w:b/>
              </w:rPr>
              <w:t>Net cash (used in) provided by:</w:t>
            </w:r>
          </w:p>
        </w:tc>
        <w:tc>
          <w:tcPr>
            <w:tcW w:w="60" w:type="dxa"/>
            <w:tcBorders/>
            <w:vAlign w:val="center"/>
          </w:tcPr>
          <w:p>
            <w:pPr>
              <w:pStyle w:val="TableContents"/>
              <w:bidi w:val="0"/>
              <w:spacing w:before="0" w:after="283"/>
              <w:jc w:val="left"/>
              <w:rPr/>
            </w:pPr>
            <w:r>
              <w:rPr/>
              <w:t> </w:t>
            </w:r>
          </w:p>
        </w:tc>
        <w:tc>
          <w:tcPr>
            <w:tcW w:w="1690" w:type="dxa"/>
            <w:gridSpan w:val="2"/>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6" w:type="dxa"/>
            <w:tcBorders/>
            <w:shd w:fill="CCEEFF" w:val="clear"/>
            <w:vAlign w:val="center"/>
          </w:tcPr>
          <w:p>
            <w:pPr>
              <w:pStyle w:val="TableContents"/>
              <w:bidi w:val="0"/>
              <w:spacing w:before="0" w:after="283"/>
              <w:jc w:val="right"/>
              <w:rPr/>
            </w:pPr>
            <w:r>
              <w:rPr/>
              <w:t>(8,778</w:t>
            </w:r>
          </w:p>
        </w:tc>
        <w:tc>
          <w:tcPr>
            <w:tcW w:w="207"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91" w:type="dxa"/>
            <w:tcBorders/>
            <w:shd w:fill="CCEEFF" w:val="clear"/>
            <w:vAlign w:val="center"/>
          </w:tcPr>
          <w:p>
            <w:pPr>
              <w:pStyle w:val="TableContents"/>
              <w:bidi w:val="0"/>
              <w:spacing w:before="0" w:after="283"/>
              <w:jc w:val="right"/>
              <w:rPr/>
            </w:pPr>
            <w:r>
              <w:rPr/>
              <w:t>(1,371</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pPr>
            <w:r>
              <w:rPr/>
              <w:t>(378</w:t>
            </w:r>
          </w:p>
        </w:tc>
        <w:tc>
          <w:tcPr>
            <w:tcW w:w="207"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before="0" w:after="283"/>
              <w:jc w:val="right"/>
              <w:rPr/>
            </w:pPr>
            <w:r>
              <w:rPr/>
              <w:t>4,984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86" w:type="dxa"/>
            <w:tcBorders>
              <w:bottom w:val="double" w:sz="10" w:space="0" w:color="000000"/>
            </w:tcBorders>
            <w:shd w:fill="FFFFFF" w:val="clear"/>
            <w:tcMar>
              <w:bottom w:w="28" w:type="dxa"/>
            </w:tcMar>
            <w:vAlign w:val="center"/>
          </w:tcPr>
          <w:p>
            <w:pPr>
              <w:pStyle w:val="TableContents"/>
              <w:bidi w:val="0"/>
              <w:spacing w:before="0" w:after="283"/>
              <w:jc w:val="right"/>
              <w:rPr/>
            </w:pPr>
            <w:r>
              <w:rPr/>
              <w:t>(9,156</w:t>
            </w:r>
          </w:p>
        </w:tc>
        <w:tc>
          <w:tcPr>
            <w:tcW w:w="207"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91" w:type="dxa"/>
            <w:tcBorders>
              <w:bottom w:val="double" w:sz="10" w:space="0" w:color="000000"/>
            </w:tcBorders>
            <w:shd w:fill="FFFFFF" w:val="clear"/>
            <w:tcMar>
              <w:bottom w:w="28" w:type="dxa"/>
            </w:tcMar>
            <w:vAlign w:val="center"/>
          </w:tcPr>
          <w:p>
            <w:pPr>
              <w:pStyle w:val="TableContents"/>
              <w:bidi w:val="0"/>
              <w:spacing w:before="0" w:after="283"/>
              <w:jc w:val="right"/>
              <w:rPr/>
            </w:pPr>
            <w:r>
              <w:rPr/>
              <w:t>3,613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six months ended June 30, 2026 was $8,778. This amount was primarily driven by (i) net loss of $25,150, (ii) non-cash adjustments of $15,549, (iii) net working capital decreases of $798, and (iv) an increase in other non-current liabilities of $25.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six months ended June 30, 2025 was $1,371. This amount was primarily attributable to (i) net loss of $2,593, (ii) non-cash adjustments of $1,079, (iii) net working capital decreases of $2,298, and (iv) an increase in other non-current liabilities of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for the six months ended June 30, 2026 was $378, which was related to the purchases of equipment. There was no net cash from investing activities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from financing activities during the six months ended June 30, 2026. Net cash provided by financing activities for the six months ended June 30, 2025 consisted of proceeds of $4,984. This amount primarily consists of (i) $4,803 of proceeds from bridge loans, (ii) $190 of proceeds from related party loans, (iii) $20 of payments of debt issuance costs associated with the bridge loans, and (iv) $11 of capital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those disclosed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expenses, results of operations, liquidity,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“Related Party Transactions” of the Notes to our Financial Statements included elsewhere in this Form 10-Q for a discussion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 and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“Summary of Significant Accounting Policies” of the Notes to our Financial Statements included elsewhere in this Form 10-Q for a discussion of recent accounting standards and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Exchange Act of 1934, as amended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June 30, 2026, our disclosure controls and procedures were not effective because of certain material weaknesses in our internal control over financial reporting,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Our internal control over financial reporting includes those policies and procedures that: (i) pertain to the maintenance of records that, in reasonable detail, accurately and fairly reflect the transactions and disposition of the assets of our company; (ii) provide reasonable assurance that transactions are recorded as necessary to permit preparation of financial statements in accordance with GAAP and that receipts and expenditures of our company are being made only in accordance with authorization of management and directors of our company;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assesses the effectiveness of our internal control over financial reporting using the criteria set forth by the Committee of Sponsoring Organizations of the Treadway Commission in the 2013 Internal Control-Integrated Framework (or “</w:t>
      </w:r>
      <w:r>
        <w:rPr>
          <w:rFonts w:ascii="Times New Roman;Times;Serif" w:hAnsi="Times New Roman;Times;Serif"/>
          <w:b/>
          <w:i w:val="false"/>
          <w:caps w:val="false"/>
          <w:smallCaps w:val="false"/>
          <w:sz w:val="20"/>
        </w:rPr>
        <w:t>COSO Framework”</w:t>
      </w:r>
      <w:r>
        <w:rPr>
          <w:rFonts w:ascii="Times New Roman;Times;Serif" w:hAnsi="Times New Roman;Times;Serif"/>
          <w:b w:val="false"/>
          <w:i w:val="false"/>
          <w:caps w:val="false"/>
          <w:smallCaps w:val="false"/>
          <w:sz w:val="20"/>
        </w:rPr>
        <w:t>). As reported in our Form 10-K for the fiscal year ended December 31, 2025, management has concluded that we did not maintain effective internal control over financial reporting due to the existence of four material weaknesses, described further below. A material weakness, as defined under standards established by the Public Company Accounting Oversight Board’s Auditing Standard No. 2, is a control deficiency, or a combination of control deficiencies, that results in more than a remote likelihood that material misstatement of annual or interim financial statements would not be prevented or detected. We describe the material weaknesses in the following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 Material Weakness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effective internal controls over financial reporting, based on the criteria established in the COSO Framework, which resulted in deficiencies in principles associated with the control environment and its ongoing evaluation by management. These control deficiencies constituted material weaknesses, either individually or in the aggregate,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lack of sufficient Sarbanes-Oxley Act of 2002 (“Sarbanes-Oxley”) control environment, including: (i) insufficient structured reporting to our Board of Directors and Audit Committee on the design and operating effectiveness of internal controls over financial reporting; (ii) the organization has not attracted, developed, or retained personnel with the competence required to design and execute SOX-compliant controls, including the competence to scope, review and challenge the work of the external accounting valuation and tax specialists on which it relies; (iii) organizational structures, reporting lines and authorities for the financial reporting function have not been formally defined, which is the structural driver of the segregation of duties condition; and (iv) no individual has been formally designated as accountable for our Sarbanes-Oxley compliance program.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Following completion of our de-SPAC transaction we did not perform a formal assessment of the impact of this change on our internal control environment. As a result: (i) financial reporting objectives have not been defined in the context of public company obligations; (ii) risks to achieving those objectives have not been formally identified or assessed; (iii) no fraud risk assessment has been performed; (iv) accountability for the risk-assessment process has not been assigned; and (v) no evaluation was performed to assess the delta between our existing control environment and the requirements of an SEC registrant.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failure to uplift our internal controls following our de-SPAC transaction. Specifically: (i) key controls lack documented evidence of review sufficient for audit purposes; (ii) data used in controls has not been validated for completeness and accuracy; (iii) third-party data is relied upon without evaluation of service organization controls or mapping of complementary user entity controls, and reliance on external specialists engaged for complex accounting, valuation and tax matters is not subject to structured internal review and challenge; (iv) no formal SOX policies or procedures have been documented; and (v) IT General Controls have not been scoped or evaluated.</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do not have a monitoring program to assess whether internal controls over financial reporting are present and operating effectively on an ongoing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created a reasonable possibility that a material misstatement of our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a plan to remediate the identified material weaknesses, and we expect to begin implementing these remediation efforts in 2026 and to include the following measures: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0"/>
        <w:gridCol w:w="9838"/>
      </w:tblGrid>
      <w:tr>
        <w:trPr/>
        <w:tc>
          <w:tcPr>
            <w:tcW w:w="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8" w:type="dxa"/>
            <w:tcBorders/>
            <w:vAlign w:val="center"/>
          </w:tcPr>
          <w:p>
            <w:pPr>
              <w:pStyle w:val="TableContents"/>
              <w:bidi w:val="0"/>
              <w:spacing w:before="0" w:after="283"/>
              <w:jc w:val="both"/>
              <w:rPr/>
            </w:pPr>
            <w:r>
              <w:rPr/>
              <w:t>designating a Sarbanes-Oxley compliance program owner;</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engaging external Sarbanes-Oxley advisors to provide training and advisory support;</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3"/>
        <w:gridCol w:w="9859"/>
      </w:tblGrid>
      <w:tr>
        <w:trPr/>
        <w:tc>
          <w:tcPr>
            <w:tcW w:w="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evaluating the need for additional qualified finance headcount;</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establishing audit committee reporting on internal control status;</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performing a formal de-SPAC transition impact assessment on internal controls, including documenting the gap between current-state controls and SOX requirements as the baseline for the remediation roadmap;</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performing a formal fraud risk assessment over financial reporting and reporting the results to the Audit Committee;</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developing SOX policies and procedures and control templates;</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pPr>
            <w:r>
              <w:rPr/>
              <w:t>implementing data validation protocols for all control inputs;</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obtaining and reviewing SOC-1 reports for key third-party vendors and completing CUEC mapping; and</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scoping and commencing an IT general controls assessment with support from an IT audit specialist.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during the quarter ended June 30, 2026, in our internal control over financial reporting that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such proceedings is costly and can impose a significant burden on management and team members.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8"/>
        <w:gridCol w:w="60"/>
        <w:gridCol w:w="9117"/>
      </w:tblGrid>
      <w:tr>
        <w:trPr/>
        <w:tc>
          <w:tcPr>
            <w:tcW w:w="1028" w:type="dxa"/>
            <w:tcBorders>
              <w:bottom w:val="single" w:sz="12" w:space="0" w:color="000000"/>
            </w:tcBorders>
            <w:vAlign w:val="center"/>
          </w:tcPr>
          <w:p>
            <w:pPr>
              <w:pStyle w:val="TableContents"/>
              <w:bidi w:val="0"/>
              <w:spacing w:before="0" w:after="283"/>
              <w:jc w:val="left"/>
              <w:rPr>
                <w:b/>
              </w:rPr>
            </w:pPr>
            <w:r>
              <w:rPr>
                <w:b/>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117"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028" w:type="dxa"/>
            <w:tcBorders/>
            <w:shd w:fill="CCEEFF" w:val="clear"/>
            <w:tcMar>
              <w:bottom w:w="0" w:type="dxa"/>
            </w:tcMar>
            <w:vAlign w:val="center"/>
          </w:tcPr>
          <w:p>
            <w:pPr>
              <w:pStyle w:val="TableContents"/>
              <w:bidi w:val="0"/>
              <w:spacing w:before="0" w:after="283"/>
              <w:jc w:val="left"/>
              <w:rPr/>
            </w:pPr>
            <w:r>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w:anchor="ea030068101ex31-1.htm">
              <w:r>
                <w:rPr>
                  <w:rStyle w:val="InternetLink"/>
                </w:rPr>
                <w:t>Certification of Principal Executive Officer pursuant to Exchange Act Rules 13a-14(a) and 15d-14(a), as adopted pursuant to Section 302 of the Sarbanes-Oxley Act of 2002.</w:t>
              </w:r>
            </w:hyperlink>
          </w:p>
        </w:tc>
      </w:tr>
      <w:tr>
        <w:trPr/>
        <w:tc>
          <w:tcPr>
            <w:tcW w:w="1028" w:type="dxa"/>
            <w:tcBorders/>
            <w:shd w:fill="FFFFFF" w:val="clear"/>
            <w:tcMar>
              <w:bottom w:w="0" w:type="dxa"/>
            </w:tcMar>
            <w:vAlign w:val="center"/>
          </w:tcPr>
          <w:p>
            <w:pPr>
              <w:pStyle w:val="TableContents"/>
              <w:bidi w:val="0"/>
              <w:spacing w:before="0" w:after="283"/>
              <w:jc w:val="left"/>
              <w:rPr/>
            </w:pPr>
            <w:r>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ea030068101ex31-2.htm">
              <w:r>
                <w:rPr>
                  <w:rStyle w:val="InternetLink"/>
                </w:rPr>
                <w:t>Certification of Principal Financial Officer pursuant to Exchange Act Rules 13a-14(a) and 15d-14(a), as adopted pursuant to Section 302 of the Sarbanes-Oxley Act of 2002.</w:t>
              </w:r>
            </w:hyperlink>
          </w:p>
        </w:tc>
      </w:tr>
      <w:tr>
        <w:trPr/>
        <w:tc>
          <w:tcPr>
            <w:tcW w:w="1028" w:type="dxa"/>
            <w:tcBorders/>
            <w:shd w:fill="CCEEFF" w:val="clear"/>
            <w:tcMar>
              <w:bottom w:w="0" w:type="dxa"/>
            </w:tcMar>
            <w:vAlign w:val="center"/>
          </w:tcPr>
          <w:p>
            <w:pPr>
              <w:pStyle w:val="TableContents"/>
              <w:bidi w:val="0"/>
              <w:spacing w:before="0" w:after="283"/>
              <w:jc w:val="left"/>
              <w:rPr/>
            </w:pPr>
            <w:r>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w:anchor="ea030068101ex32-1.htm">
              <w:r>
                <w:rPr>
                  <w:rStyle w:val="InternetLink"/>
                </w:rPr>
                <w:t>Certification of Principal Executive Officer pursuant to 18 U.S.C. Section 1350, as adopted pursuant to Section 906 of the Sarbanes-Oxley Act of 2002.</w:t>
              </w:r>
            </w:hyperlink>
          </w:p>
        </w:tc>
      </w:tr>
      <w:tr>
        <w:trPr/>
        <w:tc>
          <w:tcPr>
            <w:tcW w:w="1028" w:type="dxa"/>
            <w:tcBorders/>
            <w:shd w:fill="FFFFFF" w:val="clear"/>
            <w:tcMar>
              <w:bottom w:w="0" w:type="dxa"/>
            </w:tcMar>
            <w:vAlign w:val="center"/>
          </w:tcPr>
          <w:p>
            <w:pPr>
              <w:pStyle w:val="TableContents"/>
              <w:bidi w:val="0"/>
              <w:spacing w:before="0" w:after="283"/>
              <w:jc w:val="left"/>
              <w:rPr/>
            </w:pPr>
            <w:r>
              <w:rPr/>
              <w:t>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ea030068101ex32-2.htm">
              <w:r>
                <w:rPr>
                  <w:rStyle w:val="InternetLink"/>
                </w:rPr>
                <w:t>Certification of Principal Financial Officer pursuant to 18 U.S.C. Section 1350, as adopted pursuant to Section 906 of the Sarbanes-Oxley Act of 2002.</w:t>
              </w:r>
            </w:hyperlink>
          </w:p>
        </w:tc>
      </w:tr>
      <w:tr>
        <w:trPr/>
        <w:tc>
          <w:tcPr>
            <w:tcW w:w="1028"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Inline XBRL Instance Document (the instance document does not appear in the Interactive Data File because iXBRL tags are embedded within the Inline XBRL document).</w:t>
            </w:r>
          </w:p>
        </w:tc>
      </w:tr>
      <w:tr>
        <w:trPr/>
        <w:tc>
          <w:tcPr>
            <w:tcW w:w="1028" w:type="dxa"/>
            <w:tcBorders/>
            <w:shd w:fill="FFFFFF" w:val="clear"/>
            <w:tcMar>
              <w:bottom w:w="0" w:type="dxa"/>
            </w:tcMar>
            <w:vAlign w:val="center"/>
          </w:tcPr>
          <w:p>
            <w:pPr>
              <w:pStyle w:val="TableContents"/>
              <w:bidi w:val="0"/>
              <w:spacing w:before="0" w:after="283"/>
              <w:jc w:val="left"/>
              <w:rPr/>
            </w:pPr>
            <w:r>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r>
              <w:rPr/>
              <w:t>Inline XBRL Taxonomy Extension Schema Document</w:t>
            </w:r>
          </w:p>
        </w:tc>
      </w:tr>
      <w:tr>
        <w:trPr/>
        <w:tc>
          <w:tcPr>
            <w:tcW w:w="1028"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Inline XBRL Taxonomy Extension Calculation Linkbase Document</w:t>
            </w:r>
          </w:p>
        </w:tc>
      </w:tr>
      <w:tr>
        <w:trPr/>
        <w:tc>
          <w:tcPr>
            <w:tcW w:w="1028" w:type="dxa"/>
            <w:tcBorders/>
            <w:shd w:fill="FFFFFF" w:val="clear"/>
            <w:tcMar>
              <w:bottom w:w="0" w:type="dxa"/>
            </w:tcMar>
            <w:vAlign w:val="center"/>
          </w:tcPr>
          <w:p>
            <w:pPr>
              <w:pStyle w:val="TableContents"/>
              <w:bidi w:val="0"/>
              <w:spacing w:before="0" w:after="283"/>
              <w:jc w:val="left"/>
              <w:rPr/>
            </w:pPr>
            <w:r>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r>
              <w:rPr/>
              <w:t>Inline XBRL Taxonomy Extension Definition Linkbase Document</w:t>
            </w:r>
          </w:p>
        </w:tc>
      </w:tr>
      <w:tr>
        <w:trPr/>
        <w:tc>
          <w:tcPr>
            <w:tcW w:w="1028"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Inline XBRL Taxonomy Extension Labels Linkbase Document</w:t>
            </w:r>
          </w:p>
        </w:tc>
      </w:tr>
      <w:tr>
        <w:trPr/>
        <w:tc>
          <w:tcPr>
            <w:tcW w:w="1028" w:type="dxa"/>
            <w:tcBorders/>
            <w:shd w:fill="FFFFFF" w:val="clear"/>
            <w:tcMar>
              <w:bottom w:w="0" w:type="dxa"/>
            </w:tcMar>
            <w:vAlign w:val="center"/>
          </w:tcPr>
          <w:p>
            <w:pPr>
              <w:pStyle w:val="TableContents"/>
              <w:bidi w:val="0"/>
              <w:spacing w:before="0" w:after="283"/>
              <w:jc w:val="left"/>
              <w:rPr/>
            </w:pPr>
            <w:r>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r>
              <w:rPr/>
              <w:t>Inline XBRL Taxonomy Extension Presentation Linkbase Document</w:t>
            </w:r>
          </w:p>
        </w:tc>
      </w:tr>
      <w:tr>
        <w:trPr/>
        <w:tc>
          <w:tcPr>
            <w:tcW w:w="1028"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Cover page from the Company’s Quarterly Report on Form 10-Q for the period ended June 30, 2026 formatted in Inline XBRL (included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9" w:type="dxa"/>
        <w:jc w:val="left"/>
        <w:tblInd w:w="0" w:type="dxa"/>
        <w:tblLayout w:type="fixed"/>
        <w:tblCellMar>
          <w:top w:w="0" w:type="dxa"/>
          <w:left w:w="0" w:type="dxa"/>
          <w:bottom w:w="0" w:type="dxa"/>
          <w:right w:w="0" w:type="dxa"/>
        </w:tblCellMar>
      </w:tblPr>
      <w:tblGrid>
        <w:gridCol w:w="1895"/>
        <w:gridCol w:w="1046"/>
        <w:gridCol w:w="3338"/>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4384" w:type="dxa"/>
            <w:gridSpan w:val="2"/>
            <w:tcBorders/>
            <w:vAlign w:val="center"/>
          </w:tcPr>
          <w:p>
            <w:pPr>
              <w:pStyle w:val="TableContents"/>
              <w:bidi w:val="0"/>
              <w:spacing w:before="0" w:after="283"/>
              <w:jc w:val="left"/>
              <w:rPr>
                <w:b/>
              </w:rPr>
            </w:pPr>
            <w:r>
              <w:rPr>
                <w:b/>
              </w:rPr>
              <w:t>Terra Innovatum Global N.V.</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384" w:type="dxa"/>
            <w:gridSpan w:val="2"/>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Name: </w:t>
            </w:r>
          </w:p>
        </w:tc>
        <w:tc>
          <w:tcPr>
            <w:tcW w:w="3338" w:type="dxa"/>
            <w:tcBorders/>
            <w:vAlign w:val="center"/>
          </w:tcPr>
          <w:p>
            <w:pPr>
              <w:pStyle w:val="TableContents"/>
              <w:bidi w:val="0"/>
              <w:spacing w:before="0" w:after="283"/>
              <w:jc w:val="left"/>
              <w:rPr/>
            </w:pPr>
            <w:r>
              <w:rPr/>
              <w:t>Alessandro Petruzzi</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Title:</w:t>
            </w:r>
          </w:p>
        </w:tc>
        <w:tc>
          <w:tcPr>
            <w:tcW w:w="3338" w:type="dxa"/>
            <w:tcBorders/>
            <w:vAlign w:val="center"/>
          </w:tcPr>
          <w:p>
            <w:pPr>
              <w:pStyle w:val="TableContents"/>
              <w:bidi w:val="0"/>
              <w:spacing w:before="0" w:after="283"/>
              <w:jc w:val="left"/>
              <w:rPr/>
            </w:pPr>
            <w:r>
              <w:rPr/>
              <w:t>Chief Executive Officer</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i/>
              </w:rPr>
            </w:pPr>
            <w:r>
              <w:rPr>
                <w:i/>
              </w:rPr>
              <w:t>(Principal Executive Officer)</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384" w:type="dxa"/>
            <w:gridSpan w:val="2"/>
            <w:tcBorders>
              <w:bottom w:val="single" w:sz="12" w:space="0" w:color="000000"/>
            </w:tcBorders>
            <w:tcMar>
              <w:bottom w:w="28" w:type="dxa"/>
            </w:tcMar>
            <w:vAlign w:val="center"/>
          </w:tcPr>
          <w:p>
            <w:pPr>
              <w:pStyle w:val="TableContents"/>
              <w:bidi w:val="0"/>
              <w:spacing w:before="0" w:after="283"/>
              <w:jc w:val="left"/>
              <w:rPr/>
            </w:pPr>
            <w:r>
              <w:rPr/>
              <w:t xml:space="preserve">/s/ Katherine Williams </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Name:</w:t>
            </w:r>
          </w:p>
        </w:tc>
        <w:tc>
          <w:tcPr>
            <w:tcW w:w="3338" w:type="dxa"/>
            <w:tcBorders/>
            <w:vAlign w:val="center"/>
          </w:tcPr>
          <w:p>
            <w:pPr>
              <w:pStyle w:val="TableContents"/>
              <w:bidi w:val="0"/>
              <w:spacing w:before="0" w:after="283"/>
              <w:jc w:val="left"/>
              <w:rPr/>
            </w:pPr>
            <w:r>
              <w:rPr/>
              <w:t>Katherine Williams</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Title:</w:t>
            </w:r>
          </w:p>
        </w:tc>
        <w:tc>
          <w:tcPr>
            <w:tcW w:w="3338" w:type="dxa"/>
            <w:tcBorders/>
            <w:vAlign w:val="center"/>
          </w:tcPr>
          <w:p>
            <w:pPr>
              <w:pStyle w:val="TableContents"/>
              <w:bidi w:val="0"/>
              <w:spacing w:before="0" w:after="283"/>
              <w:jc w:val="left"/>
              <w:rPr/>
            </w:pPr>
            <w:r>
              <w:rPr/>
              <w:t>Chief Financial Officer</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i/>
              </w:rPr>
            </w:pPr>
            <w:r>
              <w:rPr>
                <w:i/>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5" w:name="ea030068101ex31-1.htm"/>
      <w:bookmarkStart w:id="16" w:name="ksea030068101ex311"/>
      <w:bookmarkEnd w:id="15"/>
      <w:bookmarkEnd w:id="16"/>
      <w:r>
        <w:rPr>
          <w:b/>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Alessandro Petruzzi, certify that:</w:t>
      </w:r>
    </w:p>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85"/>
        <w:gridCol w:w="6800"/>
      </w:tblGrid>
      <w:tr>
        <w:trPr/>
        <w:tc>
          <w:tcPr>
            <w:tcW w:w="185" w:type="dxa"/>
            <w:tcBorders/>
            <w:vAlign w:val="center"/>
          </w:tcPr>
          <w:p>
            <w:pPr>
              <w:pStyle w:val="TableContents"/>
              <w:bidi w:val="0"/>
              <w:spacing w:before="0" w:after="283"/>
              <w:jc w:val="left"/>
              <w:rPr>
                <w:sz w:val="20"/>
              </w:rPr>
            </w:pPr>
            <w:r>
              <w:rPr>
                <w:sz w:val="20"/>
              </w:rPr>
              <w:t>1.</w:t>
            </w:r>
          </w:p>
        </w:tc>
        <w:tc>
          <w:tcPr>
            <w:tcW w:w="6800" w:type="dxa"/>
            <w:tcBorders/>
            <w:vAlign w:val="center"/>
          </w:tcPr>
          <w:p>
            <w:pPr>
              <w:pStyle w:val="TableContents"/>
              <w:bidi w:val="0"/>
              <w:spacing w:before="0" w:after="283"/>
              <w:jc w:val="both"/>
              <w:rPr>
                <w:sz w:val="20"/>
              </w:rPr>
            </w:pPr>
            <w:r>
              <w:rPr>
                <w:sz w:val="20"/>
              </w:rPr>
              <w:t>I have reviewed this quarterly report on Form 10-Q of Terra Innovatum Global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d)</w:t>
            </w:r>
          </w:p>
        </w:tc>
        <w:tc>
          <w:tcPr>
            <w:tcW w:w="9986"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20"/>
              </w:rPr>
            </w:pPr>
            <w:r>
              <w:rPr>
                <w:sz w:val="20"/>
              </w:rPr>
              <w:t>a)</w:t>
            </w:r>
          </w:p>
        </w:tc>
        <w:tc>
          <w:tcPr>
            <w:tcW w:w="999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2930" w:type="dxa"/>
        <w:jc w:val="left"/>
        <w:tblInd w:w="0" w:type="dxa"/>
        <w:tblLayout w:type="fixed"/>
        <w:tblCellMar>
          <w:top w:w="0" w:type="dxa"/>
          <w:left w:w="0" w:type="dxa"/>
          <w:bottom w:w="28" w:type="dxa"/>
          <w:right w:w="0" w:type="dxa"/>
        </w:tblCellMar>
      </w:tblPr>
      <w:tblGrid>
        <w:gridCol w:w="2795"/>
        <w:gridCol w:w="135"/>
      </w:tblGrid>
      <w:tr>
        <w:trPr/>
        <w:tc>
          <w:tcPr>
            <w:tcW w:w="2795" w:type="dxa"/>
            <w:tcBorders>
              <w:bottom w:val="single" w:sz="12" w:space="0" w:color="000000"/>
            </w:tcBorders>
            <w:vAlign w:val="center"/>
          </w:tcPr>
          <w:p>
            <w:pPr>
              <w:pStyle w:val="TableContents"/>
              <w:bidi w:val="0"/>
              <w:spacing w:before="0" w:after="283"/>
              <w:jc w:val="left"/>
              <w:rPr>
                <w:sz w:val="20"/>
              </w:rPr>
            </w:pPr>
            <w:r>
              <w:rPr>
                <w:sz w:val="20"/>
              </w:rPr>
              <w:t>/s/ Alessandro Petruzzi</w:t>
            </w:r>
          </w:p>
        </w:tc>
        <w:tc>
          <w:tcPr>
            <w:tcW w:w="135" w:type="dxa"/>
            <w:tcBorders/>
            <w:tcMar>
              <w:bottom w:w="0" w:type="dxa"/>
            </w:tcMar>
            <w:vAlign w:val="center"/>
          </w:tcPr>
          <w:p>
            <w:pPr>
              <w:pStyle w:val="TableContents"/>
              <w:bidi w:val="0"/>
              <w:spacing w:before="0" w:after="283"/>
              <w:jc w:val="left"/>
              <w:rPr/>
            </w:pPr>
            <w:r>
              <w:rPr/>
              <w:t> </w:t>
            </w:r>
          </w:p>
        </w:tc>
      </w:tr>
      <w:tr>
        <w:trPr/>
        <w:tc>
          <w:tcPr>
            <w:tcW w:w="2795" w:type="dxa"/>
            <w:tcBorders/>
            <w:tcMar>
              <w:bottom w:w="0" w:type="dxa"/>
            </w:tcMar>
            <w:vAlign w:val="center"/>
          </w:tcPr>
          <w:p>
            <w:pPr>
              <w:pStyle w:val="TableContents"/>
              <w:bidi w:val="0"/>
              <w:spacing w:before="0" w:after="283"/>
              <w:jc w:val="left"/>
              <w:rPr>
                <w:sz w:val="20"/>
              </w:rPr>
            </w:pPr>
            <w:r>
              <w:rPr>
                <w:sz w:val="20"/>
              </w:rPr>
              <w:t>Alessandro Petruzzi</w:t>
            </w:r>
          </w:p>
        </w:tc>
        <w:tc>
          <w:tcPr>
            <w:tcW w:w="135" w:type="dxa"/>
            <w:tcBorders/>
            <w:tcMar>
              <w:bottom w:w="0" w:type="dxa"/>
            </w:tcMar>
            <w:vAlign w:val="center"/>
          </w:tcPr>
          <w:p>
            <w:pPr>
              <w:pStyle w:val="TableContents"/>
              <w:bidi w:val="0"/>
              <w:spacing w:before="0" w:after="283"/>
              <w:jc w:val="left"/>
              <w:rPr/>
            </w:pPr>
            <w:r>
              <w:rPr/>
              <w:t> </w:t>
            </w:r>
          </w:p>
        </w:tc>
      </w:tr>
      <w:tr>
        <w:trPr/>
        <w:tc>
          <w:tcPr>
            <w:tcW w:w="2795" w:type="dxa"/>
            <w:tcBorders/>
            <w:tcMar>
              <w:bottom w:w="0" w:type="dxa"/>
            </w:tcMar>
            <w:vAlign w:val="center"/>
          </w:tcPr>
          <w:p>
            <w:pPr>
              <w:pStyle w:val="TableContents"/>
              <w:bidi w:val="0"/>
              <w:jc w:val="left"/>
              <w:rPr/>
            </w:pPr>
            <w:r>
              <w:rPr/>
              <w:t>Chief Executive Officer</w:t>
            </w:r>
          </w:p>
          <w:p>
            <w:pPr>
              <w:pStyle w:val="TableContents"/>
              <w:bidi w:val="0"/>
              <w:spacing w:before="0" w:after="283"/>
              <w:jc w:val="left"/>
              <w:rPr>
                <w:i/>
              </w:rPr>
            </w:pPr>
            <w:r>
              <w:rPr>
                <w:i/>
              </w:rPr>
              <w:t>(Principal Executive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17" w:name="ea030068101ex31-2.htm"/>
      <w:bookmarkStart w:id="18" w:name="ksea030068101ex312"/>
      <w:bookmarkEnd w:id="17"/>
      <w:bookmarkEnd w:id="18"/>
      <w:r>
        <w:rPr>
          <w:b/>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Katherine Williams, certify that:</w:t>
      </w:r>
    </w:p>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85"/>
        <w:gridCol w:w="6800"/>
      </w:tblGrid>
      <w:tr>
        <w:trPr/>
        <w:tc>
          <w:tcPr>
            <w:tcW w:w="185" w:type="dxa"/>
            <w:tcBorders/>
            <w:vAlign w:val="center"/>
          </w:tcPr>
          <w:p>
            <w:pPr>
              <w:pStyle w:val="TableContents"/>
              <w:bidi w:val="0"/>
              <w:spacing w:before="0" w:after="283"/>
              <w:jc w:val="left"/>
              <w:rPr>
                <w:sz w:val="20"/>
              </w:rPr>
            </w:pPr>
            <w:r>
              <w:rPr>
                <w:sz w:val="20"/>
              </w:rPr>
              <w:t>1.</w:t>
            </w:r>
          </w:p>
        </w:tc>
        <w:tc>
          <w:tcPr>
            <w:tcW w:w="6800" w:type="dxa"/>
            <w:tcBorders/>
            <w:vAlign w:val="center"/>
          </w:tcPr>
          <w:p>
            <w:pPr>
              <w:pStyle w:val="TableContents"/>
              <w:bidi w:val="0"/>
              <w:spacing w:before="0" w:after="283"/>
              <w:jc w:val="both"/>
              <w:rPr>
                <w:sz w:val="20"/>
              </w:rPr>
            </w:pPr>
            <w:r>
              <w:rPr>
                <w:sz w:val="20"/>
              </w:rPr>
              <w:t>I have reviewed this quarterly report on Form 10-Q of Terra Innovatum Global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b)</w:t>
            </w:r>
          </w:p>
        </w:tc>
        <w:tc>
          <w:tcPr>
            <w:tcW w:w="9970"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c)</w:t>
            </w:r>
          </w:p>
        </w:tc>
        <w:tc>
          <w:tcPr>
            <w:tcW w:w="9970" w:type="dxa"/>
            <w:tcBorders/>
            <w:vAlign w:val="center"/>
          </w:tcPr>
          <w:p>
            <w:pPr>
              <w:pStyle w:val="TableContents"/>
              <w:bidi w:val="0"/>
              <w:spacing w:before="0" w:after="283"/>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d)</w:t>
            </w:r>
          </w:p>
        </w:tc>
        <w:tc>
          <w:tcPr>
            <w:tcW w:w="9970"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b)</w:t>
            </w:r>
          </w:p>
        </w:tc>
        <w:tc>
          <w:tcPr>
            <w:tcW w:w="9962" w:type="dxa"/>
            <w:tcBorders/>
            <w:vAlign w:val="center"/>
          </w:tcPr>
          <w:p>
            <w:pPr>
              <w:pStyle w:val="TableContents"/>
              <w:bidi w:val="0"/>
              <w:spacing w:before="0" w:after="283"/>
              <w:jc w:val="both"/>
              <w:rPr/>
            </w:pPr>
            <w:r>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4400" w:type="dxa"/>
        <w:jc w:val="left"/>
        <w:tblInd w:w="0" w:type="dxa"/>
        <w:tblLayout w:type="fixed"/>
        <w:tblCellMar>
          <w:top w:w="0" w:type="dxa"/>
          <w:left w:w="0" w:type="dxa"/>
          <w:bottom w:w="28" w:type="dxa"/>
          <w:right w:w="0" w:type="dxa"/>
        </w:tblCellMar>
      </w:tblPr>
      <w:tblGrid>
        <w:gridCol w:w="4325"/>
        <w:gridCol w:w="75"/>
      </w:tblGrid>
      <w:tr>
        <w:trPr/>
        <w:tc>
          <w:tcPr>
            <w:tcW w:w="4325" w:type="dxa"/>
            <w:tcBorders>
              <w:bottom w:val="single" w:sz="12" w:space="0" w:color="000000"/>
            </w:tcBorders>
            <w:vAlign w:val="center"/>
          </w:tcPr>
          <w:p>
            <w:pPr>
              <w:pStyle w:val="TableContents"/>
              <w:bidi w:val="0"/>
              <w:spacing w:before="0" w:after="283"/>
              <w:jc w:val="left"/>
              <w:rPr/>
            </w:pPr>
            <w:r>
              <w:rPr/>
              <w:t>/s/ 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left"/>
              <w:rPr/>
            </w:pPr>
            <w:r>
              <w:rPr/>
              <w:t>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left"/>
              <w:rPr/>
            </w:pPr>
            <w:r>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left"/>
              <w:rPr>
                <w:i/>
              </w:rPr>
            </w:pPr>
            <w:r>
              <w:rPr>
                <w:i/>
              </w:rPr>
              <w:t>(Principal Financial and Accounting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19" w:name="ea030068101ex32-1.htm"/>
      <w:bookmarkStart w:id="20" w:name="ksea030068101ex321"/>
      <w:bookmarkEnd w:id="19"/>
      <w:bookmarkEnd w:id="20"/>
      <w:r>
        <w:rPr>
          <w:b/>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 AS ADOPTED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Quarterly Report of Terra Innovatum Global N.V. (the “Company”) on Form 10-Q for the period ended June 30, 2026 as filed with the Securities and Exchange Commission on the date hereof (the “Report”), the undersigned Alessandro Petruzzi, Chief Executive Officer (Principal Executive Officer) of the Company, certifies,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6"/>
        <w:gridCol w:w="9804"/>
      </w:tblGrid>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(1)</w:t>
            </w:r>
          </w:p>
        </w:tc>
        <w:tc>
          <w:tcPr>
            <w:tcW w:w="9804"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04"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(2)</w:t>
            </w:r>
          </w:p>
        </w:tc>
        <w:tc>
          <w:tcPr>
            <w:tcW w:w="9804"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2930" w:type="dxa"/>
        <w:jc w:val="left"/>
        <w:tblInd w:w="0" w:type="dxa"/>
        <w:tblLayout w:type="fixed"/>
        <w:tblCellMar>
          <w:top w:w="0" w:type="dxa"/>
          <w:left w:w="0" w:type="dxa"/>
          <w:bottom w:w="28" w:type="dxa"/>
          <w:right w:w="0" w:type="dxa"/>
        </w:tblCellMar>
      </w:tblPr>
      <w:tblGrid>
        <w:gridCol w:w="2795"/>
        <w:gridCol w:w="135"/>
      </w:tblGrid>
      <w:tr>
        <w:trPr/>
        <w:tc>
          <w:tcPr>
            <w:tcW w:w="2795" w:type="dxa"/>
            <w:tcBorders>
              <w:bottom w:val="single" w:sz="12" w:space="0" w:color="000000"/>
            </w:tcBorders>
            <w:vAlign w:val="center"/>
          </w:tcPr>
          <w:p>
            <w:pPr>
              <w:pStyle w:val="TableContents"/>
              <w:bidi w:val="0"/>
              <w:spacing w:before="0" w:after="283"/>
              <w:jc w:val="left"/>
              <w:rPr/>
            </w:pPr>
            <w:r>
              <w:rPr/>
              <w:t>/s/ Alessandro Petruzzi</w:t>
            </w:r>
          </w:p>
        </w:tc>
        <w:tc>
          <w:tcPr>
            <w:tcW w:w="135" w:type="dxa"/>
            <w:tcBorders/>
            <w:tcMar>
              <w:bottom w:w="0" w:type="dxa"/>
            </w:tcMar>
            <w:vAlign w:val="center"/>
          </w:tcPr>
          <w:p>
            <w:pPr>
              <w:pStyle w:val="TableContents"/>
              <w:bidi w:val="0"/>
              <w:spacing w:before="0" w:after="283"/>
              <w:jc w:val="left"/>
              <w:rPr/>
            </w:pPr>
            <w:r>
              <w:rPr/>
              <w:t> </w:t>
            </w:r>
          </w:p>
        </w:tc>
      </w:tr>
      <w:tr>
        <w:trPr/>
        <w:tc>
          <w:tcPr>
            <w:tcW w:w="2795" w:type="dxa"/>
            <w:tcBorders/>
            <w:tcMar>
              <w:bottom w:w="0" w:type="dxa"/>
            </w:tcMar>
            <w:vAlign w:val="center"/>
          </w:tcPr>
          <w:p>
            <w:pPr>
              <w:pStyle w:val="TableContents"/>
              <w:bidi w:val="0"/>
              <w:spacing w:before="0" w:after="283"/>
              <w:jc w:val="left"/>
              <w:rPr/>
            </w:pPr>
            <w:r>
              <w:rPr/>
              <w:t>Alessandro Petruzzi</w:t>
            </w:r>
          </w:p>
        </w:tc>
        <w:tc>
          <w:tcPr>
            <w:tcW w:w="135" w:type="dxa"/>
            <w:tcBorders/>
            <w:tcMar>
              <w:bottom w:w="0" w:type="dxa"/>
            </w:tcMar>
            <w:vAlign w:val="center"/>
          </w:tcPr>
          <w:p>
            <w:pPr>
              <w:pStyle w:val="TableContents"/>
              <w:bidi w:val="0"/>
              <w:spacing w:before="0" w:after="283"/>
              <w:jc w:val="left"/>
              <w:rPr/>
            </w:pPr>
            <w:r>
              <w:rPr/>
              <w:t> </w:t>
            </w:r>
          </w:p>
        </w:tc>
      </w:tr>
      <w:tr>
        <w:trPr/>
        <w:tc>
          <w:tcPr>
            <w:tcW w:w="2795" w:type="dxa"/>
            <w:tcBorders/>
            <w:tcMar>
              <w:bottom w:w="0" w:type="dxa"/>
            </w:tcMar>
            <w:vAlign w:val="center"/>
          </w:tcPr>
          <w:p>
            <w:pPr>
              <w:pStyle w:val="TableContents"/>
              <w:bidi w:val="0"/>
              <w:jc w:val="left"/>
              <w:rPr/>
            </w:pPr>
            <w:r>
              <w:rPr/>
              <w:t>Chief Executive Officer</w:t>
            </w:r>
          </w:p>
          <w:p>
            <w:pPr>
              <w:pStyle w:val="TableContents"/>
              <w:bidi w:val="0"/>
              <w:spacing w:before="0" w:after="283"/>
              <w:jc w:val="left"/>
              <w:rPr>
                <w:i/>
              </w:rPr>
            </w:pPr>
            <w:r>
              <w:rPr>
                <w:i/>
              </w:rPr>
              <w:t>(Principal Executive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Terra Innovatum Global N.V. and will be retained by Terra Innovatum Global N.V.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21" w:name="ea030068101ex32-2.htm"/>
      <w:bookmarkStart w:id="22" w:name="ksea030068101ex322"/>
      <w:bookmarkEnd w:id="21"/>
      <w:bookmarkEnd w:id="22"/>
      <w:r>
        <w:rPr>
          <w:b/>
        </w:rPr>
        <w:t>Exhibit 32.2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 AS ADOPTED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Quarterly Report of Terra Innovatum Global N.V. (the “Company”) on Form 10-Q for the period ended June 30, 2026 as filed with the Securities and Exchange Commission on the date hereof (the “Report”), the undersigned Katherine Williams, Chief Financial Officer (Principal Financial and Accounting Officer) of the Company, certifies,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6"/>
        <w:gridCol w:w="9804"/>
      </w:tblGrid>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(1)</w:t>
            </w:r>
          </w:p>
        </w:tc>
        <w:tc>
          <w:tcPr>
            <w:tcW w:w="9804"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04"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(2)</w:t>
            </w:r>
          </w:p>
        </w:tc>
        <w:tc>
          <w:tcPr>
            <w:tcW w:w="9804"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4490" w:type="dxa"/>
        <w:jc w:val="left"/>
        <w:tblInd w:w="0" w:type="dxa"/>
        <w:tblLayout w:type="fixed"/>
        <w:tblCellMar>
          <w:top w:w="0" w:type="dxa"/>
          <w:left w:w="0" w:type="dxa"/>
          <w:bottom w:w="28" w:type="dxa"/>
          <w:right w:w="0" w:type="dxa"/>
        </w:tblCellMar>
      </w:tblPr>
      <w:tblGrid>
        <w:gridCol w:w="4355"/>
        <w:gridCol w:w="135"/>
      </w:tblGrid>
      <w:tr>
        <w:trPr/>
        <w:tc>
          <w:tcPr>
            <w:tcW w:w="4355" w:type="dxa"/>
            <w:tcBorders>
              <w:bottom w:val="single" w:sz="12" w:space="0" w:color="000000"/>
            </w:tcBorders>
            <w:vAlign w:val="center"/>
          </w:tcPr>
          <w:p>
            <w:pPr>
              <w:pStyle w:val="TableContents"/>
              <w:bidi w:val="0"/>
              <w:spacing w:before="0" w:after="283"/>
              <w:jc w:val="left"/>
              <w:rPr/>
            </w:pPr>
            <w:r>
              <w:rPr/>
              <w:t>/s/ Katherine Williams</w:t>
            </w:r>
          </w:p>
        </w:tc>
        <w:tc>
          <w:tcPr>
            <w:tcW w:w="135" w:type="dxa"/>
            <w:tcBorders/>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left"/>
              <w:rPr/>
            </w:pPr>
            <w:r>
              <w:rPr/>
              <w:t>Katherine Williams</w:t>
            </w:r>
          </w:p>
        </w:tc>
        <w:tc>
          <w:tcPr>
            <w:tcW w:w="135" w:type="dxa"/>
            <w:tcBorders/>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jc w:val="left"/>
              <w:rPr/>
            </w:pPr>
            <w:r>
              <w:rPr/>
              <w:t xml:space="preserve">Chief Financial Officer </w:t>
            </w:r>
          </w:p>
          <w:p>
            <w:pPr>
              <w:pStyle w:val="TableContents"/>
              <w:bidi w:val="0"/>
              <w:spacing w:before="0" w:after="283"/>
              <w:jc w:val="left"/>
              <w:rPr>
                <w:i/>
              </w:rPr>
            </w:pPr>
            <w:r>
              <w:rPr>
                <w:i/>
              </w:rPr>
              <w:t>(Principal Financial and Accounting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Terra Innovatum Global N.V. and will be retained by Terra Innovatum Global N.V.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16182</Words>
  <Characters>91480</Characters>
  <CharactersWithSpaces>108606</CharactersWithSpaces>
  <Paragraphs>4195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